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60" w:rsidRDefault="00EE5F6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E5F60" w:rsidRDefault="00EE5F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E5F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5F60" w:rsidRDefault="00EE5F60">
            <w:pPr>
              <w:pStyle w:val="ConsPlusNormal"/>
            </w:pPr>
            <w:r>
              <w:t>24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5F60" w:rsidRDefault="00EE5F60">
            <w:pPr>
              <w:pStyle w:val="ConsPlusNormal"/>
              <w:jc w:val="right"/>
            </w:pPr>
            <w:r>
              <w:t>N 4283-ЗПО</w:t>
            </w:r>
          </w:p>
        </w:tc>
      </w:tr>
    </w:tbl>
    <w:p w:rsidR="00EE5F60" w:rsidRDefault="00EE5F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Title"/>
        <w:jc w:val="center"/>
      </w:pPr>
      <w:r>
        <w:t>ЗАКОН</w:t>
      </w:r>
    </w:p>
    <w:p w:rsidR="00EE5F60" w:rsidRDefault="00EE5F60">
      <w:pPr>
        <w:pStyle w:val="ConsPlusTitle"/>
        <w:jc w:val="center"/>
      </w:pPr>
      <w:r>
        <w:t>ПЕНЗЕНСКОЙ ОБЛАСТИ</w:t>
      </w:r>
    </w:p>
    <w:p w:rsidR="00EE5F60" w:rsidRDefault="00EE5F60">
      <w:pPr>
        <w:pStyle w:val="ConsPlusTitle"/>
        <w:jc w:val="both"/>
      </w:pPr>
    </w:p>
    <w:p w:rsidR="00EE5F60" w:rsidRDefault="00EE5F60">
      <w:pPr>
        <w:pStyle w:val="ConsPlusTitle"/>
        <w:jc w:val="center"/>
      </w:pPr>
      <w:r>
        <w:t>О ПРОМЫШЛЕННОЙ ПОЛИТИКЕ В ПЕНЗЕНСКОЙ ОБЛАСТИ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EE5F60" w:rsidRDefault="00EE5F60">
      <w:pPr>
        <w:pStyle w:val="ConsPlusNormal"/>
        <w:jc w:val="right"/>
      </w:pPr>
      <w:r>
        <w:t>Законодательным Собранием</w:t>
      </w:r>
    </w:p>
    <w:p w:rsidR="00EE5F60" w:rsidRDefault="00EE5F60">
      <w:pPr>
        <w:pStyle w:val="ConsPlusNormal"/>
        <w:jc w:val="right"/>
      </w:pPr>
      <w:r>
        <w:t>Пензенской области</w:t>
      </w:r>
    </w:p>
    <w:p w:rsidR="00EE5F60" w:rsidRDefault="00EE5F60">
      <w:pPr>
        <w:pStyle w:val="ConsPlusNormal"/>
        <w:jc w:val="right"/>
      </w:pPr>
      <w:r>
        <w:t>24 апреля 2024 года</w:t>
      </w:r>
    </w:p>
    <w:p w:rsidR="00EE5F60" w:rsidRDefault="00EE5F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5F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F60" w:rsidRDefault="00EE5F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F60" w:rsidRDefault="00EE5F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F60" w:rsidRDefault="00EE5F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5F60" w:rsidRDefault="00EE5F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14.02.2025 N 4518-ЗПО)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F60" w:rsidRDefault="00EE5F60">
            <w:pPr>
              <w:pStyle w:val="ConsPlusNormal"/>
            </w:pPr>
          </w:p>
        </w:tc>
      </w:tr>
    </w:tbl>
    <w:p w:rsidR="00EE5F60" w:rsidRDefault="00EE5F60">
      <w:pPr>
        <w:pStyle w:val="ConsPlusNormal"/>
        <w:jc w:val="both"/>
      </w:pPr>
    </w:p>
    <w:p w:rsidR="00EE5F60" w:rsidRDefault="00EE5F60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ind w:firstLine="540"/>
        <w:jc w:val="both"/>
      </w:pPr>
      <w:r>
        <w:t xml:space="preserve">Настоящий Закон устанавливает правовое регулирование в сфере промышленной политики в Пензенской области в пределах полномочий, установленных федеральным </w:t>
      </w:r>
      <w:hyperlink r:id="rId7">
        <w:r>
          <w:rPr>
            <w:color w:val="0000FF"/>
          </w:rPr>
          <w:t>законодательством</w:t>
        </w:r>
      </w:hyperlink>
      <w:r>
        <w:t xml:space="preserve"> для органов государственной власти субъекта Российской Федерации.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Title"/>
        <w:ind w:firstLine="540"/>
        <w:jc w:val="both"/>
        <w:outlineLvl w:val="0"/>
      </w:pPr>
      <w:r>
        <w:t>Статья 2. Основные понятия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ind w:firstLine="540"/>
        <w:jc w:val="both"/>
      </w:pPr>
      <w:r>
        <w:t xml:space="preserve">Для целей настоящего Закона применяются понятия, установленные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Федерации".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Title"/>
        <w:ind w:firstLine="540"/>
        <w:jc w:val="both"/>
        <w:outlineLvl w:val="0"/>
      </w:pPr>
      <w:r>
        <w:t>Статья 3. Полномочия Законодательного Собрания Пензенской области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ind w:firstLine="540"/>
        <w:jc w:val="both"/>
      </w:pPr>
      <w:r>
        <w:t>К полномочиям Законодательного Собрания Пензенской области относится принятие законов Пензенской области в сфере промышленной политики и контроль за их исполнением.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Title"/>
        <w:ind w:firstLine="540"/>
        <w:jc w:val="both"/>
        <w:outlineLvl w:val="0"/>
      </w:pPr>
      <w:r>
        <w:t>Статья 4. Полномочия Правительства Пензенской области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ind w:firstLine="540"/>
        <w:jc w:val="both"/>
      </w:pPr>
      <w:r>
        <w:t>Правительство Пензенской области в сфере промышленной политики осуществляет следующие полномочия: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1) правовое регулирование в пределах полномочий,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и настоящим Законом;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2) содействие развитию межрегионального и международного сотрудничества субъектов деятельности в сфере промышленности;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3) определение исполнительного органа Пензенской области, уполномоченного в области промышленной политики (далее - уполномоченный орган Пензенской области);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4) установление дополнительных </w:t>
      </w:r>
      <w:hyperlink r:id="rId10">
        <w:r>
          <w:rPr>
            <w:color w:val="0000FF"/>
          </w:rPr>
          <w:t>требований</w:t>
        </w:r>
      </w:hyperlink>
      <w:r>
        <w:t xml:space="preserve">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технопаркам в сфере высоких технологий, управляющим компаниям технопарков в сфере высоких технологий, </w:t>
      </w:r>
      <w:r>
        <w:lastRenderedPageBreak/>
        <w:t>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бюджета Пензенской области;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11">
        <w:r>
          <w:rPr>
            <w:color w:val="0000FF"/>
          </w:rPr>
          <w:t>порядка</w:t>
        </w:r>
      </w:hyperlink>
      <w:r>
        <w:t xml:space="preserve"> применения мер стимулирования деятельности в сфере промышленности к управляющей компании индустриального (промышленного) парка и к субъектам деятельности в сфере промышленности, использующим объекты промышленной инфраструктуры, находящиеся в составе индустриального (промышленного) парка;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6) установление </w:t>
      </w:r>
      <w:hyperlink r:id="rId12">
        <w:r>
          <w:rPr>
            <w:color w:val="0000FF"/>
          </w:rPr>
          <w:t>порядка</w:t>
        </w:r>
      </w:hyperlink>
      <w:r>
        <w:t xml:space="preserve"> применения мер стимулирования деятельности в сфере промышленности к управляющей компании промышленного технопарка и субъектам деятельности в сфере промышленности, использующим объекты технологической инфраструктуры и промышленной инфраструктуры, находящиеся в составе промышленного технопарка;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7) установление </w:t>
      </w:r>
      <w:hyperlink r:id="rId13">
        <w:r>
          <w:rPr>
            <w:color w:val="0000FF"/>
          </w:rPr>
          <w:t>порядка</w:t>
        </w:r>
      </w:hyperlink>
      <w:r>
        <w:t xml:space="preserve"> применения мер стимулирования деятельности в сфере промышленности к управляющей компании технопарка в сфере высоких технологий и юридическим лицам, индивидуальным предпринимателям, использующим объекты технологической инфраструктуры, транспортной инфраструктуры и коммунальной инфраструктуры, здания, строения, сооружения, предназначенные для осуществления ими научно-технической деятельности, и (или) инновационной деятельности, и (или) деятельности в сфере информационных технологий в целях обеспечения производства промышленной продукции и (или) выведения на рынок новых продуктов, технологий и (или) услуг, находящиеся в составе технопарка в сфере высоких технологий;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8) иные полномочия в сфере промышленной политики в соответствии с федеральным законодательством.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Title"/>
        <w:ind w:firstLine="540"/>
        <w:jc w:val="both"/>
        <w:outlineLvl w:val="0"/>
      </w:pPr>
      <w:r>
        <w:t>Статья 5. Полномочия уполномоченного органа Пензенской области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ind w:firstLine="540"/>
        <w:jc w:val="both"/>
      </w:pPr>
      <w:r>
        <w:t>К полномочиям уполномоченного органа Пензенской области относятся: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1) участие в формировании и реализации промышленной политики;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2) разработка и реализация документов стратегического планирования по вопросам развития промышленности;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3) участие в разработке и реализации государственных программ развития промышленности в Пензенской области;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4) осуществление мер стимулирования деятельности в сфере промышленности в соответствии с действующим законодательством;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5) разработка и реализация региональных научно-технических и инновационных программ и проектов, в том числе научными организациями Пензенской области, осуществляемые за счет средств бюджета Пензенской области;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6) информирование субъектов деятельности в сфере промышленности об имеющихся трудовых ресурсах, производственных мощностях и о потребностях в создании новых рабочих мест на территории Пензенской области;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7) предоставление информации для включения в государственную информационную систему промышленности.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Title"/>
        <w:ind w:firstLine="540"/>
        <w:jc w:val="both"/>
        <w:outlineLvl w:val="0"/>
      </w:pPr>
      <w:r>
        <w:t>Статья 6. Меры стимулирования деятельности в сфере промышленности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ind w:firstLine="540"/>
        <w:jc w:val="both"/>
      </w:pPr>
      <w:bookmarkStart w:id="0" w:name="P53"/>
      <w:bookmarkEnd w:id="0"/>
      <w:r>
        <w:t xml:space="preserve">1. Стимулирование субъектов деятельности в сфере промышленности осуществляется в </w:t>
      </w:r>
      <w:r>
        <w:lastRenderedPageBreak/>
        <w:t>форме: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1) финансовой поддержки за счет бюджетных и иных источников;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2) поддержки осуществляемой ими научно-технической, инновационной и инженерно-строительной деятельности в сфере промышленности;</w:t>
      </w:r>
    </w:p>
    <w:p w:rsidR="00EE5F60" w:rsidRDefault="00EE5F6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Пензенской обл. от 14.02.2025 N 4518-ЗПО)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3) информационно-консультационной поддержки;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4) поддержки развития их кадрового потенциала;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5) поддержки осуществляемой ими внешнеэкономической деятельности;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6) предоставления государственных преференций;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7) предоставления налоговых льгот в соответствии с законами Пензенской области;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>8) иных мер поддержки, установленных действующим законодательством.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2. Применение мер стимулирования деятельности в сфере промышленности, установленных в соответствии с </w:t>
      </w:r>
      <w:hyperlink w:anchor="P53">
        <w:r>
          <w:rPr>
            <w:color w:val="0000FF"/>
          </w:rPr>
          <w:t>частью 1</w:t>
        </w:r>
      </w:hyperlink>
      <w:r>
        <w:t xml:space="preserve"> настоящей статьи и иными нормативными правовыми актами Пензенской области, в отношении управляющих компаний, осуществляющих управление совокупностью объектов промышленной инфраструктуры, предназначенных для создания промышленного производства или модернизации промышленного производства, осуществляется в случае соответствия таких управляющих компаний требованиям, установленным в соответствии со </w:t>
      </w:r>
      <w:hyperlink r:id="rId15">
        <w:r>
          <w:rPr>
            <w:color w:val="0000FF"/>
          </w:rPr>
          <w:t>статьей 19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3. Применение мер стимулирования деятельности в сфере промышленности, установленных в соответствии с </w:t>
      </w:r>
      <w:hyperlink w:anchor="P53">
        <w:r>
          <w:rPr>
            <w:color w:val="0000FF"/>
          </w:rPr>
          <w:t>частью 1</w:t>
        </w:r>
      </w:hyperlink>
      <w:r>
        <w:t xml:space="preserve"> настоящей статьи и иными нормативными правовыми актами Пензенской области, в отношении управляющих компаний, осуществляющих управление объектами технологической инфраструктуры и промышленной инфраструктуры, предназначенными для осуществления субъектами деятельности в сфере промышленности промышленного производства, и (или) научно-технической деятельности, и (или) инновационной деятельности в целях освоения производства промышленной продукции и коммерциализации полученных научно-технических результатов, осуществляется в случае соответствия таких управляющих компаний требованиям, установленным в соответствии со </w:t>
      </w:r>
      <w:hyperlink r:id="rId16">
        <w:r>
          <w:rPr>
            <w:color w:val="0000FF"/>
          </w:rPr>
          <w:t>статьей 19.1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4. Применение мер стимулирования деятельности в сфере промышленности, установленных в соответствии с </w:t>
      </w:r>
      <w:hyperlink w:anchor="P53">
        <w:r>
          <w:rPr>
            <w:color w:val="0000FF"/>
          </w:rPr>
          <w:t>частью 1</w:t>
        </w:r>
      </w:hyperlink>
      <w:r>
        <w:t xml:space="preserve"> настоящей статьи и иными нормативными правовыми актами Пензенской области, в отношении управляющих компаний, осуществляющих управление совокупностью объектов технологической инфраструктуры, транспортной инфраструктуры и коммунальной инфраструктуры, зданий, строений, сооружений, предназначенных для осуществления юридическими лицами, индивидуальными предпринимателями научно-технической деятельности, и (или) инновационной деятельности, и (или) деятельности в сфере информационных технологий в целях обеспечения производства промышленной продукции и (или) выведения на рынок новых продуктов, технологий и (или) услуг, осуществляется в случае соответствия таких управляющих компаний требованиям, установленным в соответствии со </w:t>
      </w:r>
      <w:hyperlink r:id="rId17">
        <w:r>
          <w:rPr>
            <w:color w:val="0000FF"/>
          </w:rPr>
          <w:t>статьей 19.2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5. Финансирование государственной поддержки субъектов деятельности в сфере промышленности осуществляется за счет средств, предусмотренных на эти цели законом Пензенской области о бюджете Пензенской области на очередной финансовый год и плановый </w:t>
      </w:r>
      <w:r>
        <w:lastRenderedPageBreak/>
        <w:t>период в рамках реализации государственных программ Пензенской области.</w:t>
      </w:r>
    </w:p>
    <w:p w:rsidR="00EE5F60" w:rsidRDefault="00EE5F60">
      <w:pPr>
        <w:pStyle w:val="ConsPlusNormal"/>
        <w:spacing w:before="220"/>
        <w:ind w:firstLine="540"/>
        <w:jc w:val="both"/>
      </w:pPr>
      <w:r>
        <w:t xml:space="preserve">6. С даты заключения специального инвестиционного контракта, заключенного в соответствии с </w:t>
      </w:r>
      <w:hyperlink r:id="rId18">
        <w:r>
          <w:rPr>
            <w:color w:val="0000FF"/>
          </w:rPr>
          <w:t>главой 2.1</w:t>
        </w:r>
      </w:hyperlink>
      <w:r>
        <w:t xml:space="preserve"> Федерального закона от 31 декабря 2014 года N 488-ФЗ "О промышленной политике в Российской Федерации", и в течение срока его действия в отношении инвестора не применяются законодательные акты и (или) иные нормативные правовые акты Пензенской области, которые вступили в силу после даты заключения специального инвестиционного контракта и которые вводят ограничения и (или) запреты на реализацию прав, приобретенных или осуществляемых инвестором в целях выполнения специального инвестиционного контракта.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jc w:val="right"/>
      </w:pPr>
      <w:r>
        <w:t>Губернатор</w:t>
      </w:r>
    </w:p>
    <w:p w:rsidR="00EE5F60" w:rsidRDefault="00EE5F60">
      <w:pPr>
        <w:pStyle w:val="ConsPlusNormal"/>
        <w:jc w:val="right"/>
      </w:pPr>
      <w:r>
        <w:t>Пензенской области</w:t>
      </w:r>
    </w:p>
    <w:p w:rsidR="00EE5F60" w:rsidRDefault="00EE5F60">
      <w:pPr>
        <w:pStyle w:val="ConsPlusNormal"/>
        <w:jc w:val="right"/>
      </w:pPr>
      <w:r>
        <w:t>О.В.МЕЛЬНИЧЕНКО</w:t>
      </w:r>
    </w:p>
    <w:p w:rsidR="00EE5F60" w:rsidRDefault="00EE5F60">
      <w:pPr>
        <w:pStyle w:val="ConsPlusNormal"/>
      </w:pPr>
      <w:r>
        <w:t>г. Пенза</w:t>
      </w:r>
    </w:p>
    <w:p w:rsidR="00EE5F60" w:rsidRDefault="00EE5F60">
      <w:pPr>
        <w:pStyle w:val="ConsPlusNormal"/>
        <w:spacing w:before="220"/>
      </w:pPr>
      <w:r>
        <w:t>24 апреля 2024 года</w:t>
      </w:r>
    </w:p>
    <w:p w:rsidR="00EE5F60" w:rsidRDefault="00EE5F60">
      <w:pPr>
        <w:pStyle w:val="ConsPlusNormal"/>
        <w:spacing w:before="220"/>
      </w:pPr>
      <w:r>
        <w:t>N 4283-ЗПО</w:t>
      </w: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jc w:val="both"/>
      </w:pPr>
    </w:p>
    <w:p w:rsidR="00EE5F60" w:rsidRDefault="00EE5F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D66" w:rsidRDefault="00F76D66">
      <w:bookmarkStart w:id="1" w:name="_GoBack"/>
      <w:bookmarkEnd w:id="1"/>
    </w:p>
    <w:sectPr w:rsidR="00F76D66" w:rsidSect="0038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60"/>
    <w:rsid w:val="006F2C60"/>
    <w:rsid w:val="007C07F7"/>
    <w:rsid w:val="00E725CF"/>
    <w:rsid w:val="00EE5F60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61E28-AE05-4914-BA0F-31B5DDA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F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5F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5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37" TargetMode="External"/><Relationship Id="rId13" Type="http://schemas.openxmlformats.org/officeDocument/2006/relationships/hyperlink" Target="https://login.consultant.ru/link/?req=doc&amp;base=RLAW021&amp;n=195687&amp;dst=100134" TargetMode="External"/><Relationship Id="rId18" Type="http://schemas.openxmlformats.org/officeDocument/2006/relationships/hyperlink" Target="https://login.consultant.ru/link/?req=doc&amp;base=LAW&amp;n=479337&amp;dst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9337&amp;dst=100080" TargetMode="External"/><Relationship Id="rId12" Type="http://schemas.openxmlformats.org/officeDocument/2006/relationships/hyperlink" Target="https://login.consultant.ru/link/?req=doc&amp;base=RLAW021&amp;n=195687&amp;dst=100064" TargetMode="External"/><Relationship Id="rId17" Type="http://schemas.openxmlformats.org/officeDocument/2006/relationships/hyperlink" Target="https://login.consultant.ru/link/?req=doc&amp;base=LAW&amp;n=479337&amp;dst=1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337&amp;dst=1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1893&amp;dst=100007" TargetMode="External"/><Relationship Id="rId11" Type="http://schemas.openxmlformats.org/officeDocument/2006/relationships/hyperlink" Target="https://login.consultant.ru/link/?req=doc&amp;base=RLAW021&amp;n=195687&amp;dst=100012" TargetMode="External"/><Relationship Id="rId5" Type="http://schemas.openxmlformats.org/officeDocument/2006/relationships/hyperlink" Target="https://login.consultant.ru/link/?req=doc&amp;base=REXP021&amp;n=17239&amp;dst=100007" TargetMode="External"/><Relationship Id="rId15" Type="http://schemas.openxmlformats.org/officeDocument/2006/relationships/hyperlink" Target="https://login.consultant.ru/link/?req=doc&amp;base=LAW&amp;n=479337&amp;dst=100199" TargetMode="External"/><Relationship Id="rId10" Type="http://schemas.openxmlformats.org/officeDocument/2006/relationships/hyperlink" Target="https://login.consultant.ru/link/?req=doc&amp;base=RLAW021&amp;n=195638&amp;dst=10002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9337&amp;dst=100012" TargetMode="External"/><Relationship Id="rId14" Type="http://schemas.openxmlformats.org/officeDocument/2006/relationships/hyperlink" Target="https://login.consultant.ru/link/?req=doc&amp;base=RLAW021&amp;n=201893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Mesheryakov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2025-06-10T11:43:00Z</dcterms:created>
  <dcterms:modified xsi:type="dcterms:W3CDTF">2025-06-10T11:43:00Z</dcterms:modified>
</cp:coreProperties>
</file>