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BB67" w14:textId="37101654" w:rsidR="00245AB7" w:rsidRPr="00245AB7" w:rsidRDefault="00245AB7" w:rsidP="00245AB7">
      <w:pPr>
        <w:spacing w:after="0"/>
        <w:ind w:firstLine="709"/>
        <w:jc w:val="both"/>
        <w:rPr>
          <w:b/>
          <w:bCs/>
        </w:rPr>
      </w:pPr>
      <w:r w:rsidRPr="00245AB7">
        <w:rPr>
          <w:b/>
          <w:bCs/>
        </w:rPr>
        <w:t>К</w:t>
      </w:r>
      <w:r w:rsidRPr="00245AB7">
        <w:rPr>
          <w:b/>
          <w:bCs/>
        </w:rPr>
        <w:t>ритери</w:t>
      </w:r>
      <w:r w:rsidRPr="00245AB7">
        <w:rPr>
          <w:b/>
          <w:bCs/>
        </w:rPr>
        <w:t>и благонадежности, социальной и экологической ответственности субъекта предпринимательской деятельности в Пензенской области для юридического лица (коммерческой организации):</w:t>
      </w:r>
    </w:p>
    <w:p w14:paraId="4EEC351C" w14:textId="77777777" w:rsidR="00245AB7" w:rsidRPr="00245AB7" w:rsidRDefault="00245AB7" w:rsidP="00245AB7">
      <w:pPr>
        <w:spacing w:after="0"/>
        <w:ind w:firstLine="709"/>
        <w:jc w:val="both"/>
      </w:pPr>
      <w:r w:rsidRPr="00245AB7">
        <w:t>1) коммерческая организация зарегистрирована и осуществляет деятельность на территории Пензенской области;</w:t>
      </w:r>
    </w:p>
    <w:p w14:paraId="56BE5314" w14:textId="19985B8F" w:rsidR="00245AB7" w:rsidRPr="00245AB7" w:rsidRDefault="00245AB7" w:rsidP="00245AB7">
      <w:pPr>
        <w:spacing w:after="0"/>
        <w:ind w:firstLine="709"/>
        <w:jc w:val="both"/>
      </w:pPr>
      <w:r w:rsidRPr="00245AB7">
        <w:t xml:space="preserve">2) коммерческая организация не осуществляет деятельность, предусмотренную </w:t>
      </w:r>
      <w:hyperlink r:id="rId4" w:history="1">
        <w:r w:rsidRPr="00245AB7">
          <w:rPr>
            <w:rStyle w:val="ac"/>
            <w:color w:val="000000" w:themeColor="text1"/>
            <w:u w:val="none"/>
          </w:rPr>
          <w:t>разделом К</w:t>
        </w:r>
      </w:hyperlink>
      <w:r w:rsidRPr="00245AB7">
        <w:rPr>
          <w:color w:val="000000" w:themeColor="text1"/>
        </w:rPr>
        <w:t xml:space="preserve"> </w:t>
      </w:r>
      <w:r>
        <w:t>«</w:t>
      </w:r>
      <w:r w:rsidRPr="00245AB7">
        <w:t>Деятельность финансовая и страховая</w:t>
      </w:r>
      <w:r>
        <w:t>»</w:t>
      </w:r>
      <w:r w:rsidRPr="00245AB7">
        <w:t xml:space="preserve"> Общероссийского классификатора видов экономической деятельности ОК 029-2014 (КДЕС Ред. 2) (далее - Общероссийский классификатор), за исключением </w:t>
      </w:r>
      <w:hyperlink r:id="rId5" w:history="1">
        <w:r w:rsidRPr="00245AB7">
          <w:rPr>
            <w:rStyle w:val="ac"/>
            <w:color w:val="000000" w:themeColor="text1"/>
            <w:u w:val="none"/>
          </w:rPr>
          <w:t>кода 64.2</w:t>
        </w:r>
      </w:hyperlink>
      <w:r w:rsidRPr="00245AB7">
        <w:t xml:space="preserve"> </w:t>
      </w:r>
      <w:r>
        <w:t>«</w:t>
      </w:r>
      <w:r w:rsidRPr="00245AB7">
        <w:t>Деятельность холдинговых компаний</w:t>
      </w:r>
      <w:r>
        <w:t>»</w:t>
      </w:r>
      <w:r w:rsidRPr="00245AB7">
        <w:t xml:space="preserve">, а также не осуществляет виды деятельности со следующими кодами Общероссийского классификатора: </w:t>
      </w:r>
      <w:hyperlink r:id="rId6" w:history="1">
        <w:r w:rsidRPr="00245AB7">
          <w:rPr>
            <w:rStyle w:val="ac"/>
            <w:color w:val="000000" w:themeColor="text1"/>
            <w:u w:val="none"/>
          </w:rPr>
          <w:t>01.15</w:t>
        </w:r>
      </w:hyperlink>
      <w:r w:rsidRPr="00245AB7">
        <w:rPr>
          <w:color w:val="000000" w:themeColor="text1"/>
        </w:rPr>
        <w:t xml:space="preserve">, </w:t>
      </w:r>
      <w:hyperlink r:id="rId7" w:history="1">
        <w:r w:rsidRPr="00245AB7">
          <w:rPr>
            <w:rStyle w:val="ac"/>
            <w:color w:val="000000" w:themeColor="text1"/>
            <w:u w:val="none"/>
          </w:rPr>
          <w:t>11.01</w:t>
        </w:r>
      </w:hyperlink>
      <w:r w:rsidRPr="00245AB7">
        <w:rPr>
          <w:color w:val="000000" w:themeColor="text1"/>
        </w:rPr>
        <w:t xml:space="preserve">, </w:t>
      </w:r>
      <w:hyperlink r:id="rId8" w:history="1">
        <w:r w:rsidRPr="00245AB7">
          <w:rPr>
            <w:rStyle w:val="ac"/>
            <w:color w:val="000000" w:themeColor="text1"/>
            <w:u w:val="none"/>
          </w:rPr>
          <w:t>11.02</w:t>
        </w:r>
      </w:hyperlink>
      <w:r w:rsidRPr="00245AB7">
        <w:rPr>
          <w:color w:val="000000" w:themeColor="text1"/>
        </w:rPr>
        <w:t xml:space="preserve">, </w:t>
      </w:r>
      <w:hyperlink r:id="rId9" w:history="1">
        <w:r w:rsidRPr="00245AB7">
          <w:rPr>
            <w:rStyle w:val="ac"/>
            <w:color w:val="000000" w:themeColor="text1"/>
            <w:u w:val="none"/>
          </w:rPr>
          <w:t>11.03</w:t>
        </w:r>
      </w:hyperlink>
      <w:r w:rsidRPr="00245AB7">
        <w:rPr>
          <w:color w:val="000000" w:themeColor="text1"/>
        </w:rPr>
        <w:t xml:space="preserve">, </w:t>
      </w:r>
      <w:hyperlink r:id="rId10" w:history="1">
        <w:r w:rsidRPr="00245AB7">
          <w:rPr>
            <w:rStyle w:val="ac"/>
            <w:color w:val="000000" w:themeColor="text1"/>
            <w:u w:val="none"/>
          </w:rPr>
          <w:t>11.04</w:t>
        </w:r>
      </w:hyperlink>
      <w:r w:rsidRPr="00245AB7">
        <w:rPr>
          <w:color w:val="000000" w:themeColor="text1"/>
        </w:rPr>
        <w:t xml:space="preserve">, </w:t>
      </w:r>
      <w:hyperlink r:id="rId11" w:history="1">
        <w:r w:rsidRPr="00245AB7">
          <w:rPr>
            <w:rStyle w:val="ac"/>
            <w:color w:val="000000" w:themeColor="text1"/>
            <w:u w:val="none"/>
          </w:rPr>
          <w:t>11.05</w:t>
        </w:r>
      </w:hyperlink>
      <w:r w:rsidRPr="00245AB7">
        <w:rPr>
          <w:color w:val="000000" w:themeColor="text1"/>
        </w:rPr>
        <w:t xml:space="preserve">, </w:t>
      </w:r>
      <w:hyperlink r:id="rId12" w:history="1">
        <w:r w:rsidRPr="00245AB7">
          <w:rPr>
            <w:rStyle w:val="ac"/>
            <w:color w:val="000000" w:themeColor="text1"/>
            <w:u w:val="none"/>
          </w:rPr>
          <w:t>11.06</w:t>
        </w:r>
      </w:hyperlink>
      <w:r w:rsidRPr="00245AB7">
        <w:rPr>
          <w:color w:val="000000" w:themeColor="text1"/>
        </w:rPr>
        <w:t xml:space="preserve">, </w:t>
      </w:r>
      <w:hyperlink r:id="rId13" w:history="1">
        <w:r w:rsidRPr="00245AB7">
          <w:rPr>
            <w:rStyle w:val="ac"/>
            <w:color w:val="000000" w:themeColor="text1"/>
            <w:u w:val="none"/>
          </w:rPr>
          <w:t>46.17.22</w:t>
        </w:r>
      </w:hyperlink>
      <w:r w:rsidRPr="00245AB7">
        <w:rPr>
          <w:color w:val="000000" w:themeColor="text1"/>
        </w:rPr>
        <w:t xml:space="preserve">, </w:t>
      </w:r>
      <w:hyperlink r:id="rId14" w:history="1">
        <w:r w:rsidRPr="00245AB7">
          <w:rPr>
            <w:rStyle w:val="ac"/>
            <w:color w:val="000000" w:themeColor="text1"/>
            <w:u w:val="none"/>
          </w:rPr>
          <w:t>46.17.23</w:t>
        </w:r>
      </w:hyperlink>
      <w:r w:rsidRPr="00245AB7">
        <w:rPr>
          <w:color w:val="000000" w:themeColor="text1"/>
        </w:rPr>
        <w:t xml:space="preserve">, </w:t>
      </w:r>
      <w:hyperlink r:id="rId15" w:history="1">
        <w:r w:rsidRPr="00245AB7">
          <w:rPr>
            <w:rStyle w:val="ac"/>
            <w:color w:val="000000" w:themeColor="text1"/>
            <w:u w:val="none"/>
          </w:rPr>
          <w:t>46.17.3</w:t>
        </w:r>
      </w:hyperlink>
      <w:r w:rsidRPr="00245AB7">
        <w:rPr>
          <w:color w:val="000000" w:themeColor="text1"/>
        </w:rPr>
        <w:t xml:space="preserve">, </w:t>
      </w:r>
      <w:hyperlink r:id="rId16" w:history="1">
        <w:r w:rsidRPr="00245AB7">
          <w:rPr>
            <w:rStyle w:val="ac"/>
            <w:color w:val="000000" w:themeColor="text1"/>
            <w:u w:val="none"/>
          </w:rPr>
          <w:t>46.21.2</w:t>
        </w:r>
      </w:hyperlink>
      <w:r w:rsidRPr="00245AB7">
        <w:rPr>
          <w:color w:val="000000" w:themeColor="text1"/>
        </w:rPr>
        <w:t xml:space="preserve">, </w:t>
      </w:r>
      <w:hyperlink r:id="rId17" w:history="1">
        <w:r w:rsidRPr="00245AB7">
          <w:rPr>
            <w:rStyle w:val="ac"/>
            <w:color w:val="000000" w:themeColor="text1"/>
            <w:u w:val="none"/>
          </w:rPr>
          <w:t>46.34.2</w:t>
        </w:r>
      </w:hyperlink>
      <w:r w:rsidRPr="00245AB7">
        <w:rPr>
          <w:color w:val="000000" w:themeColor="text1"/>
        </w:rPr>
        <w:t xml:space="preserve">, </w:t>
      </w:r>
      <w:hyperlink r:id="rId18" w:history="1">
        <w:r w:rsidRPr="00245AB7">
          <w:rPr>
            <w:rStyle w:val="ac"/>
            <w:color w:val="000000" w:themeColor="text1"/>
            <w:u w:val="none"/>
          </w:rPr>
          <w:t>46.34.21</w:t>
        </w:r>
      </w:hyperlink>
      <w:r w:rsidRPr="00245AB7">
        <w:rPr>
          <w:color w:val="000000" w:themeColor="text1"/>
        </w:rPr>
        <w:t xml:space="preserve">, </w:t>
      </w:r>
      <w:hyperlink r:id="rId19" w:history="1">
        <w:r w:rsidRPr="00245AB7">
          <w:rPr>
            <w:rStyle w:val="ac"/>
            <w:color w:val="000000" w:themeColor="text1"/>
            <w:u w:val="none"/>
          </w:rPr>
          <w:t>46.34.22</w:t>
        </w:r>
      </w:hyperlink>
      <w:r w:rsidRPr="00245AB7">
        <w:rPr>
          <w:color w:val="000000" w:themeColor="text1"/>
        </w:rPr>
        <w:t xml:space="preserve">, </w:t>
      </w:r>
      <w:hyperlink r:id="rId20" w:history="1">
        <w:r w:rsidRPr="00245AB7">
          <w:rPr>
            <w:rStyle w:val="ac"/>
            <w:color w:val="000000" w:themeColor="text1"/>
            <w:u w:val="none"/>
          </w:rPr>
          <w:t>46.34.23</w:t>
        </w:r>
      </w:hyperlink>
      <w:r w:rsidRPr="00245AB7">
        <w:rPr>
          <w:color w:val="000000" w:themeColor="text1"/>
        </w:rPr>
        <w:t xml:space="preserve">, </w:t>
      </w:r>
      <w:hyperlink r:id="rId21" w:history="1">
        <w:r w:rsidRPr="00245AB7">
          <w:rPr>
            <w:rStyle w:val="ac"/>
            <w:color w:val="000000" w:themeColor="text1"/>
            <w:u w:val="none"/>
          </w:rPr>
          <w:t>46.35</w:t>
        </w:r>
      </w:hyperlink>
      <w:r w:rsidRPr="00245AB7">
        <w:rPr>
          <w:color w:val="000000" w:themeColor="text1"/>
        </w:rPr>
        <w:t xml:space="preserve">, </w:t>
      </w:r>
      <w:hyperlink r:id="rId22" w:history="1">
        <w:r w:rsidRPr="00245AB7">
          <w:rPr>
            <w:rStyle w:val="ac"/>
            <w:color w:val="000000" w:themeColor="text1"/>
            <w:u w:val="none"/>
          </w:rPr>
          <w:t>46.39.2</w:t>
        </w:r>
      </w:hyperlink>
      <w:r w:rsidRPr="00245AB7">
        <w:rPr>
          <w:color w:val="000000" w:themeColor="text1"/>
        </w:rPr>
        <w:t xml:space="preserve">, </w:t>
      </w:r>
      <w:hyperlink r:id="rId23" w:history="1">
        <w:r w:rsidRPr="00245AB7">
          <w:rPr>
            <w:rStyle w:val="ac"/>
            <w:color w:val="000000" w:themeColor="text1"/>
            <w:u w:val="none"/>
          </w:rPr>
          <w:t>47.25</w:t>
        </w:r>
      </w:hyperlink>
      <w:r w:rsidRPr="00245AB7">
        <w:rPr>
          <w:color w:val="000000" w:themeColor="text1"/>
        </w:rPr>
        <w:t xml:space="preserve">, </w:t>
      </w:r>
      <w:hyperlink r:id="rId24" w:history="1">
        <w:r w:rsidRPr="00245AB7">
          <w:rPr>
            <w:rStyle w:val="ac"/>
            <w:color w:val="000000" w:themeColor="text1"/>
            <w:u w:val="none"/>
          </w:rPr>
          <w:t>47.25.1</w:t>
        </w:r>
      </w:hyperlink>
      <w:r w:rsidRPr="00245AB7">
        <w:rPr>
          <w:color w:val="000000" w:themeColor="text1"/>
        </w:rPr>
        <w:t xml:space="preserve">, </w:t>
      </w:r>
      <w:hyperlink r:id="rId25" w:history="1">
        <w:r w:rsidRPr="00245AB7">
          <w:rPr>
            <w:rStyle w:val="ac"/>
            <w:color w:val="000000" w:themeColor="text1"/>
            <w:u w:val="none"/>
          </w:rPr>
          <w:t>47.25.11</w:t>
        </w:r>
      </w:hyperlink>
      <w:r w:rsidRPr="00245AB7">
        <w:rPr>
          <w:color w:val="000000" w:themeColor="text1"/>
        </w:rPr>
        <w:t xml:space="preserve">, </w:t>
      </w:r>
      <w:hyperlink r:id="rId26" w:history="1">
        <w:r w:rsidRPr="00245AB7">
          <w:rPr>
            <w:rStyle w:val="ac"/>
            <w:color w:val="000000" w:themeColor="text1"/>
            <w:u w:val="none"/>
          </w:rPr>
          <w:t>47.25.12</w:t>
        </w:r>
      </w:hyperlink>
      <w:r w:rsidRPr="00245AB7">
        <w:rPr>
          <w:color w:val="000000" w:themeColor="text1"/>
        </w:rPr>
        <w:t xml:space="preserve">, </w:t>
      </w:r>
      <w:hyperlink r:id="rId27" w:history="1">
        <w:r w:rsidRPr="00245AB7">
          <w:rPr>
            <w:rStyle w:val="ac"/>
            <w:color w:val="000000" w:themeColor="text1"/>
            <w:u w:val="none"/>
          </w:rPr>
          <w:t>47.26</w:t>
        </w:r>
      </w:hyperlink>
      <w:r w:rsidRPr="00245AB7">
        <w:t>;</w:t>
      </w:r>
    </w:p>
    <w:p w14:paraId="5E861349" w14:textId="77777777" w:rsidR="00245AB7" w:rsidRPr="00245AB7" w:rsidRDefault="00245AB7" w:rsidP="00245AB7">
      <w:pPr>
        <w:spacing w:after="0"/>
        <w:ind w:firstLine="709"/>
        <w:jc w:val="both"/>
      </w:pPr>
      <w:r w:rsidRPr="00245AB7">
        <w:t>3) коммерческая организация не находится в процессе ликвидации;</w:t>
      </w:r>
    </w:p>
    <w:p w14:paraId="589EBC5F" w14:textId="77777777" w:rsidR="00245AB7" w:rsidRPr="00245AB7" w:rsidRDefault="00245AB7" w:rsidP="00245AB7">
      <w:pPr>
        <w:spacing w:after="0"/>
        <w:ind w:firstLine="709"/>
        <w:jc w:val="both"/>
      </w:pPr>
      <w:r w:rsidRPr="00245AB7">
        <w:t>4) в отношении коммерческой организации не введена процедура банкротства;</w:t>
      </w:r>
    </w:p>
    <w:p w14:paraId="5CAD7515" w14:textId="77777777" w:rsidR="00245AB7" w:rsidRPr="00245AB7" w:rsidRDefault="00245AB7" w:rsidP="00245AB7">
      <w:pPr>
        <w:spacing w:after="0"/>
        <w:ind w:firstLine="709"/>
        <w:jc w:val="both"/>
      </w:pPr>
      <w:r w:rsidRPr="00245AB7">
        <w:t>5) в отношении коммерческой организации не принято решение о предстоящем исключении из Единого государственного реестра юридических лиц;</w:t>
      </w:r>
    </w:p>
    <w:p w14:paraId="0571880A" w14:textId="77777777" w:rsidR="00245AB7" w:rsidRPr="00245AB7" w:rsidRDefault="00245AB7" w:rsidP="00245AB7">
      <w:pPr>
        <w:spacing w:after="0"/>
        <w:ind w:firstLine="709"/>
        <w:jc w:val="both"/>
      </w:pPr>
      <w:r w:rsidRPr="00245AB7">
        <w:t>6)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 коммерческой организации;</w:t>
      </w:r>
    </w:p>
    <w:p w14:paraId="6F7CA033" w14:textId="77777777" w:rsidR="00245AB7" w:rsidRPr="00245AB7" w:rsidRDefault="00245AB7" w:rsidP="00245AB7">
      <w:pPr>
        <w:spacing w:after="0"/>
        <w:ind w:firstLine="709"/>
        <w:jc w:val="both"/>
      </w:pPr>
      <w:r w:rsidRPr="00245AB7">
        <w:t>7) коммерческая организация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B1ACA0D" w14:textId="3BE49AC1" w:rsidR="00245AB7" w:rsidRPr="00245AB7" w:rsidRDefault="00245AB7" w:rsidP="00245AB7">
      <w:pPr>
        <w:spacing w:after="0"/>
        <w:ind w:firstLine="709"/>
        <w:jc w:val="both"/>
      </w:pPr>
      <w:r w:rsidRPr="00245AB7">
        <w:t xml:space="preserve">8) в отношении коммерческой организации отсутствует решение межведомственного координационного органа, осуществляющего функции по противодействию финансированию терроризма и экстремистской деятельности, о применении мер по замораживанию (блокированию) денежных средств или иного имущества в соответствии со </w:t>
      </w:r>
      <w:hyperlink r:id="rId28" w:history="1">
        <w:r w:rsidRPr="00245AB7">
          <w:rPr>
            <w:rStyle w:val="ac"/>
            <w:color w:val="000000" w:themeColor="text1"/>
            <w:u w:val="none"/>
          </w:rPr>
          <w:t>статьей 7.4</w:t>
        </w:r>
      </w:hyperlink>
      <w:r w:rsidRPr="00245AB7">
        <w:t xml:space="preserve"> Федерального закона от 07.08.2001 </w:t>
      </w:r>
      <w:r>
        <w:t>№</w:t>
      </w:r>
      <w:r w:rsidRPr="00245AB7">
        <w:t xml:space="preserve"> 115-ФЗ </w:t>
      </w:r>
      <w:r>
        <w:t>«</w:t>
      </w:r>
      <w:r w:rsidRPr="00245AB7">
        <w:t>О противодействии легализации (отмыванию) доходов, полученных преступным путем, и финансированию терроризма</w:t>
      </w:r>
      <w:r>
        <w:t>»</w:t>
      </w:r>
      <w:r w:rsidRPr="00245AB7">
        <w:t xml:space="preserve"> (с последующими изменениями) (далее - Федеральный закон </w:t>
      </w:r>
      <w:r>
        <w:t>№</w:t>
      </w:r>
      <w:r w:rsidRPr="00245AB7">
        <w:t xml:space="preserve"> 115-ФЗ);</w:t>
      </w:r>
    </w:p>
    <w:p w14:paraId="6DC62292" w14:textId="77777777" w:rsidR="00245AB7" w:rsidRPr="00245AB7" w:rsidRDefault="00245AB7" w:rsidP="00245AB7">
      <w:pPr>
        <w:spacing w:after="0"/>
        <w:ind w:firstLine="709"/>
        <w:jc w:val="both"/>
      </w:pPr>
      <w:r w:rsidRPr="00245AB7">
        <w:t>9) в отношении коммерческой организации отсутствует информация о ее нахождении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экстремистской деятельности или терроризму, или в отношении которой вынесено решение о применении мер по замораживанию (блокированию) денежных средств или иного имущества;</w:t>
      </w:r>
    </w:p>
    <w:p w14:paraId="652930AD" w14:textId="1F0F333F" w:rsidR="00245AB7" w:rsidRPr="00245AB7" w:rsidRDefault="00245AB7" w:rsidP="00245AB7">
      <w:pPr>
        <w:spacing w:after="0"/>
        <w:ind w:firstLine="709"/>
        <w:jc w:val="both"/>
      </w:pPr>
      <w:r w:rsidRPr="00245AB7">
        <w:t xml:space="preserve">10) коммерческая организация не является иностранным агентом в соответствии с Федеральным </w:t>
      </w:r>
      <w:hyperlink r:id="rId29" w:history="1">
        <w:r w:rsidRPr="00245AB7">
          <w:rPr>
            <w:rStyle w:val="ac"/>
            <w:color w:val="000000" w:themeColor="text1"/>
            <w:u w:val="none"/>
          </w:rPr>
          <w:t>законом</w:t>
        </w:r>
      </w:hyperlink>
      <w:r w:rsidRPr="00245AB7">
        <w:t xml:space="preserve"> от 14.07.2022 </w:t>
      </w:r>
      <w:r>
        <w:t>№</w:t>
      </w:r>
      <w:r w:rsidRPr="00245AB7">
        <w:t xml:space="preserve"> 255-ФЗ </w:t>
      </w:r>
      <w:r>
        <w:t>«</w:t>
      </w:r>
      <w:r w:rsidRPr="00245AB7">
        <w:t xml:space="preserve">О контроле за </w:t>
      </w:r>
      <w:r w:rsidRPr="00245AB7">
        <w:lastRenderedPageBreak/>
        <w:t>деятельностью лиц, находящихся под иностранным влиянием</w:t>
      </w:r>
      <w:r>
        <w:t>»</w:t>
      </w:r>
      <w:r w:rsidRPr="00245AB7">
        <w:t xml:space="preserve"> (с последующими изменениями) (далее - Федеральный закон </w:t>
      </w:r>
      <w:r>
        <w:t>№</w:t>
      </w:r>
      <w:r w:rsidRPr="00245AB7">
        <w:t xml:space="preserve"> 255-ФЗ);</w:t>
      </w:r>
    </w:p>
    <w:p w14:paraId="783D3D94" w14:textId="4B7B5916" w:rsidR="00245AB7" w:rsidRPr="00245AB7" w:rsidRDefault="00245AB7" w:rsidP="00245AB7">
      <w:pPr>
        <w:spacing w:after="0"/>
        <w:ind w:firstLine="709"/>
        <w:jc w:val="both"/>
      </w:pPr>
      <w:r w:rsidRPr="00245AB7">
        <w:t xml:space="preserve">11) индекс деловой репутации коммерческой организации в соответствии с Национальным </w:t>
      </w:r>
      <w:hyperlink r:id="rId30" w:history="1">
        <w:r w:rsidRPr="00245AB7">
          <w:rPr>
            <w:rStyle w:val="ac"/>
            <w:color w:val="000000" w:themeColor="text1"/>
            <w:u w:val="none"/>
          </w:rPr>
          <w:t>стандартом</w:t>
        </w:r>
      </w:hyperlink>
      <w:r w:rsidRPr="00245AB7">
        <w:t xml:space="preserve"> Российской Федерации </w:t>
      </w:r>
      <w:r>
        <w:t>«</w:t>
      </w:r>
      <w:r w:rsidRPr="00245AB7">
        <w:t>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</w:t>
      </w:r>
      <w:r>
        <w:t>»</w:t>
      </w:r>
      <w:r w:rsidRPr="00245AB7">
        <w:t xml:space="preserve"> ГОСТ Р 71198-2023, утвержденным приказом Федерального агентства по техническому регулированию и метрологии от 29.12.2023 </w:t>
      </w:r>
      <w:r>
        <w:t>№</w:t>
      </w:r>
      <w:r w:rsidRPr="00245AB7">
        <w:t xml:space="preserve"> 1765-ст, по состоянию на любую дату в течение периода, равного 30 календарным дням, предшествующего дате подачи заявления (включая дату подачи заявления) и (или) в течение периода, равного 10 рабочим дням, следующего за датой после приема заявления, составляет не менее 101 балла.</w:t>
      </w:r>
    </w:p>
    <w:p w14:paraId="0FD542C2" w14:textId="77777777" w:rsidR="00F12C76" w:rsidRDefault="00F12C76" w:rsidP="006C0B77">
      <w:pPr>
        <w:spacing w:after="0"/>
        <w:ind w:firstLine="709"/>
        <w:jc w:val="both"/>
      </w:pPr>
    </w:p>
    <w:sectPr w:rsidR="00F12C76" w:rsidSect="00245AB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25"/>
    <w:rsid w:val="00245AB7"/>
    <w:rsid w:val="00474C6D"/>
    <w:rsid w:val="005E6860"/>
    <w:rsid w:val="006C0B77"/>
    <w:rsid w:val="006E4A25"/>
    <w:rsid w:val="007C7D48"/>
    <w:rsid w:val="008242FF"/>
    <w:rsid w:val="00870751"/>
    <w:rsid w:val="00922C48"/>
    <w:rsid w:val="00B915B7"/>
    <w:rsid w:val="00EA59DF"/>
    <w:rsid w:val="00EE4070"/>
    <w:rsid w:val="00F12C76"/>
    <w:rsid w:val="00F3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06F3"/>
  <w15:chartTrackingRefBased/>
  <w15:docId w15:val="{CA9ED454-9FF8-4FA0-A9E4-DD2A8DD7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E4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A2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E4A2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E4A2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E4A2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E4A2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E4A2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E4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A2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E4A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A2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A2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E4A2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45AB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45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197&amp;dst=101036" TargetMode="External"/><Relationship Id="rId13" Type="http://schemas.openxmlformats.org/officeDocument/2006/relationships/hyperlink" Target="https://login.consultant.ru/link/?req=doc&amp;base=LAW&amp;n=529197&amp;dst=103187" TargetMode="External"/><Relationship Id="rId18" Type="http://schemas.openxmlformats.org/officeDocument/2006/relationships/hyperlink" Target="https://login.consultant.ru/link/?req=doc&amp;base=LAW&amp;n=529197&amp;dst=103281" TargetMode="External"/><Relationship Id="rId26" Type="http://schemas.openxmlformats.org/officeDocument/2006/relationships/hyperlink" Target="https://login.consultant.ru/link/?req=doc&amp;base=LAW&amp;n=529197&amp;dst=1036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9197&amp;dst=103289" TargetMode="External"/><Relationship Id="rId7" Type="http://schemas.openxmlformats.org/officeDocument/2006/relationships/hyperlink" Target="https://login.consultant.ru/link/?req=doc&amp;base=LAW&amp;n=529197&amp;dst=101026" TargetMode="External"/><Relationship Id="rId12" Type="http://schemas.openxmlformats.org/officeDocument/2006/relationships/hyperlink" Target="https://login.consultant.ru/link/?req=doc&amp;base=LAW&amp;n=529197&amp;dst=101044" TargetMode="External"/><Relationship Id="rId17" Type="http://schemas.openxmlformats.org/officeDocument/2006/relationships/hyperlink" Target="https://login.consultant.ru/link/?req=doc&amp;base=LAW&amp;n=529197&amp;dst=103279" TargetMode="External"/><Relationship Id="rId25" Type="http://schemas.openxmlformats.org/officeDocument/2006/relationships/hyperlink" Target="https://login.consultant.ru/link/?req=doc&amp;base=LAW&amp;n=529197&amp;dst=1036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9197&amp;dst=103237" TargetMode="External"/><Relationship Id="rId20" Type="http://schemas.openxmlformats.org/officeDocument/2006/relationships/hyperlink" Target="https://login.consultant.ru/link/?req=doc&amp;base=LAW&amp;n=529197&amp;dst=103285" TargetMode="External"/><Relationship Id="rId29" Type="http://schemas.openxmlformats.org/officeDocument/2006/relationships/hyperlink" Target="https://login.consultant.ru/link/?req=doc&amp;base=LAW&amp;n=50369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197&amp;dst=100203" TargetMode="External"/><Relationship Id="rId11" Type="http://schemas.openxmlformats.org/officeDocument/2006/relationships/hyperlink" Target="https://login.consultant.ru/link/?req=doc&amp;base=LAW&amp;n=529197&amp;dst=101042" TargetMode="External"/><Relationship Id="rId24" Type="http://schemas.openxmlformats.org/officeDocument/2006/relationships/hyperlink" Target="https://login.consultant.ru/link/?req=doc&amp;base=LAW&amp;n=529197&amp;dst=10362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9197&amp;dst=104567" TargetMode="External"/><Relationship Id="rId15" Type="http://schemas.openxmlformats.org/officeDocument/2006/relationships/hyperlink" Target="https://login.consultant.ru/link/?req=doc&amp;base=LAW&amp;n=529197&amp;dst=103191" TargetMode="External"/><Relationship Id="rId23" Type="http://schemas.openxmlformats.org/officeDocument/2006/relationships/hyperlink" Target="https://login.consultant.ru/link/?req=doc&amp;base=LAW&amp;n=529197&amp;dst=103618" TargetMode="External"/><Relationship Id="rId28" Type="http://schemas.openxmlformats.org/officeDocument/2006/relationships/hyperlink" Target="https://login.consultant.ru/link/?req=doc&amp;base=LAW&amp;n=521929&amp;dst=1151" TargetMode="External"/><Relationship Id="rId10" Type="http://schemas.openxmlformats.org/officeDocument/2006/relationships/hyperlink" Target="https://login.consultant.ru/link/?req=doc&amp;base=LAW&amp;n=529197&amp;dst=101040" TargetMode="External"/><Relationship Id="rId19" Type="http://schemas.openxmlformats.org/officeDocument/2006/relationships/hyperlink" Target="https://login.consultant.ru/link/?req=doc&amp;base=LAW&amp;n=529197&amp;dst=103283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9197&amp;dst=104555" TargetMode="External"/><Relationship Id="rId9" Type="http://schemas.openxmlformats.org/officeDocument/2006/relationships/hyperlink" Target="https://login.consultant.ru/link/?req=doc&amp;base=LAW&amp;n=529197&amp;dst=101038" TargetMode="External"/><Relationship Id="rId14" Type="http://schemas.openxmlformats.org/officeDocument/2006/relationships/hyperlink" Target="https://login.consultant.ru/link/?req=doc&amp;base=LAW&amp;n=529197&amp;dst=103189" TargetMode="External"/><Relationship Id="rId22" Type="http://schemas.openxmlformats.org/officeDocument/2006/relationships/hyperlink" Target="https://login.consultant.ru/link/?req=doc&amp;base=LAW&amp;n=529197&amp;dst=103327" TargetMode="External"/><Relationship Id="rId27" Type="http://schemas.openxmlformats.org/officeDocument/2006/relationships/hyperlink" Target="https://login.consultant.ru/link/?req=doc&amp;base=LAW&amp;n=529197&amp;dst=103628" TargetMode="External"/><Relationship Id="rId30" Type="http://schemas.openxmlformats.org/officeDocument/2006/relationships/hyperlink" Target="https://login.consultant.ru/link/?req=doc&amp;base=OTN&amp;n=38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Харитонова</dc:creator>
  <cp:keywords/>
  <dc:description/>
  <cp:lastModifiedBy>Харитонова</cp:lastModifiedBy>
  <cp:revision>2</cp:revision>
  <dcterms:created xsi:type="dcterms:W3CDTF">2026-04-01T07:11:00Z</dcterms:created>
  <dcterms:modified xsi:type="dcterms:W3CDTF">2026-04-01T07:15:00Z</dcterms:modified>
</cp:coreProperties>
</file>