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1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6140" cy="281940"/>
                <wp:effectExtent l="0" t="0" r="0" b="0"/>
                <wp:wrapNone/>
                <wp:docPr id="1" name="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>
                        <a:xfrm>
                          <a:off x="0" y="0"/>
                          <a:ext cx="86614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  <w:szCs w:val="24"/>
                                <w:u w:val="single"/>
                              </w:rPr>
                              <w:t xml:space="preserve">Проект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51659264;o:allowoverlap:true;o:allowincell:true;mso-position-horizontal-relative:page;margin-left:458.70pt;mso-position-horizontal:absolute;mso-position-vertical-relative:page;margin-top:36.00pt;mso-position-vertical:absolute;width:68.20pt;height:22.20pt;mso-wrap-distance-left:9.00pt;mso-wrap-distance-top:0.00pt;mso-wrap-distance-right:9.00pt;mso-wrap-distance-bottom:0.00pt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rFonts w:ascii="Arial" w:hAnsi="Arial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/>
                          <w:szCs w:val="24"/>
                          <w:u w:val="single"/>
                        </w:rPr>
                        <w:t xml:space="preserve">Проект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  <w:t xml:space="preserve">О внесении изменений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Закон Пензенской области «О квотировании рабочих мест для лиц, освобожденных из учреждений, исполняющих наказание в виде лишения свободы, проживающих в Пензенской области» и Закон Пензенской области «О квотировании рабочих мест для инвалидов в Пензенской области»</w:t>
      </w:r>
    </w:p>
    <w:p>
      <w:pPr>
        <w:spacing w:before="240" w:after="240"/>
        <w:jc w:val="center"/>
      </w:pPr>
      <w:r>
        <w:t xml:space="preserve">Внесен Губернатором Пензенской области О.В. Мельниченко</w:t>
      </w:r>
    </w:p>
    <w:p>
      <w:pPr>
        <w:pStyle w:val="41"/>
        <w:jc w:val="both"/>
      </w:pPr>
    </w:p>
    <w:p>
      <w:pPr>
        <w:pStyle w:val="1"/>
        <w:numPr>
          <w:numId w:val="0"/>
          <w:ilvl w:val="0"/>
        </w:numPr>
        <w:spacing w:before="0"/>
        <w:ind w:firstLine="567"/>
      </w:pPr>
    </w:p>
    <w:p>
      <w:pPr>
        <w:pStyle w:val="1"/>
        <w:numPr>
          <w:numId w:val="0"/>
          <w:ilvl w:val="0"/>
        </w:numPr>
        <w:spacing w:before="0"/>
        <w:ind w:firstLine="567"/>
      </w:pPr>
      <w:r>
        <w:t xml:space="preserve">Внести в Закон Пензенской области от 4 апреля 2017 года № 3030-ЗПО «О квотировании рабочих мест для лиц, освобожденных из учреждений, исполняющих наказание в виде лишения свободы, проживающих в Пензенской области» (Пензенские губернские ведомости, 2017, № 24, № 91; 2022, № 90; 2024, № 37) следующие изменения:</w:t>
      </w:r>
    </w:p>
    <w:p>
      <w:pPr>
        <w:pStyle w:val="2"/>
        <w:ind w:left="0" w:firstLine="567"/>
      </w:pPr>
      <w:r>
        <w:t xml:space="preserve">в преамбуле слова «с </w:t>
      </w:r>
      <w:hyperlink r:id="rId11" w:tooltip="https://login.consultant.ru/link/?req=doc&amp;base=LAW&amp;n=464193&amp;dst=378" w:history="1">
        <w:r>
          <w:t xml:space="preserve">Законом</w:t>
        </w:r>
      </w:hyperlink>
      <w:r>
        <w:t xml:space="preserve"> </w:t>
      </w:r>
      <w:r>
        <w:t xml:space="preserve">Российской Федерации от 19 апреля 1991 года  № 1032-1» заменить словами «с Федеральным законом от 12 декабря 2023 года № 565-ФЗ», после слов «наказание в виде лишения свободы,» дополнить словами «и ищущих работу в течение года с даты освобождения,», после слов «проживающих в Пензенской области» дополнить словами «(далее – лица, освобожденные из учреждений, исполняющих наказание в виде лишения свободы)»;</w:t>
      </w:r>
    </w:p>
    <w:p>
      <w:pPr>
        <w:pStyle w:val="2"/>
        <w:ind w:left="0" w:firstLine="567"/>
      </w:pPr>
      <w:r>
        <w:t xml:space="preserve">в</w:t>
      </w:r>
      <w:r>
        <w:t xml:space="preserve"> стать</w:t>
      </w:r>
      <w:r>
        <w:t xml:space="preserve">е</w:t>
      </w:r>
      <w:r>
        <w:t xml:space="preserve"> 2</w:t>
      </w:r>
      <w:r>
        <w:t xml:space="preserve">:</w:t>
      </w:r>
    </w:p>
    <w:p>
      <w:pPr>
        <w:pStyle w:val="2"/>
        <w:numPr>
          <w:numId w:val="0"/>
          <w:ilvl w:val="0"/>
        </w:numPr>
        <w:ind w:left="567"/>
      </w:pPr>
      <w:r>
        <w:t xml:space="preserve">а) </w:t>
      </w:r>
      <w:r>
        <w:t xml:space="preserve"> </w:t>
      </w:r>
      <w:r>
        <w:t xml:space="preserve">в части 2 </w:t>
      </w:r>
      <w:r>
        <w:t xml:space="preserve">цифру «35» заменить цифрой «36»;</w:t>
      </w:r>
    </w:p>
    <w:p>
      <w:pPr>
        <w:pStyle w:val="2"/>
        <w:numPr>
          <w:numId w:val="0"/>
          <w:ilvl w:val="0"/>
        </w:numPr>
        <w:ind w:left="567"/>
      </w:pPr>
      <w:r>
        <w:t xml:space="preserve">б) </w:t>
      </w:r>
      <w:r>
        <w:t xml:space="preserve">часть 5 </w:t>
      </w:r>
      <w:r>
        <w:t xml:space="preserve">изложить в следующей редакции:</w:t>
      </w:r>
    </w:p>
    <w:p>
      <w:pPr>
        <w:pStyle w:val="2"/>
        <w:numPr>
          <w:numId w:val="0"/>
          <w:ilvl w:val="0"/>
        </w:numPr>
        <w:ind w:firstLine="567"/>
      </w:pPr>
      <w:r>
        <w:t xml:space="preserve">«5. Работодатель освобождается от выполнения установленной квоты</w:t>
      </w:r>
      <w:r>
        <w:t xml:space="preserve"> для приема на работу лиц, освобожденных из учреждений, исполняющих наказание в виде лишения свободы</w:t>
      </w:r>
      <w:r>
        <w:t xml:space="preserve">:</w:t>
      </w:r>
    </w:p>
    <w:p>
      <w:pPr>
        <w:pStyle w:val="2"/>
        <w:numPr>
          <w:numId w:val="15"/>
          <w:ilvl w:val="0"/>
        </w:numPr>
        <w:ind w:left="0" w:firstLine="567"/>
      </w:pPr>
      <w:r>
        <w:t xml:space="preserve">в случае если работодатели являются общественными объедениями инвалидов и образованными ими организациями</w:t>
      </w:r>
      <w:r>
        <w:t xml:space="preserve">, в том числе хозяйственными товариществами и обществами, уставный (складочный) капитал которых состоит из вклада общественного объединения инвалидов;</w:t>
      </w:r>
      <w:r>
        <w:t xml:space="preserve"> </w:t>
      </w:r>
    </w:p>
    <w:p>
      <w:pPr>
        <w:pStyle w:val="2"/>
        <w:numPr>
          <w:numId w:val="15"/>
          <w:ilvl w:val="0"/>
        </w:numPr>
        <w:ind w:left="0" w:firstLine="567"/>
      </w:pPr>
      <w:r>
        <w:t xml:space="preserve">в случае если работодатели являются организациями оборонно-промышленного комплекса, включенны</w:t>
      </w:r>
      <w:r>
        <w:t xml:space="preserve">ми </w:t>
      </w:r>
      <w:r>
        <w:t xml:space="preserve">в сводный реестр организаций оборонно-промышленного комплекса, формируемый в порядке, установленном Правительством Российской Федерации;</w:t>
      </w:r>
    </w:p>
    <w:p>
      <w:pPr>
        <w:pStyle w:val="1"/>
        <w:numPr>
          <w:numId w:val="0"/>
          <w:ilvl w:val="0"/>
        </w:numPr>
        <w:spacing w:before="0"/>
        <w:ind w:firstLine="567"/>
      </w:pPr>
      <w:r>
        <w:t xml:space="preserve"> </w:t>
      </w:r>
      <w:r>
        <w:t xml:space="preserve">3) при признании работодателя несостоятельным (банкротом) и открытии конкурсного производства;</w:t>
      </w:r>
    </w:p>
    <w:p>
      <w:pPr>
        <w:pStyle w:val="1"/>
        <w:numPr>
          <w:numId w:val="0"/>
          <w:ilvl w:val="0"/>
        </w:numPr>
        <w:spacing w:before="0"/>
        <w:ind w:firstLine="567"/>
      </w:pPr>
      <w:r>
        <w:t xml:space="preserve">4) при уменьшении численности работников до числа работников, при котором квота не устанавливается.».</w:t>
      </w:r>
    </w:p>
    <w:p>
      <w:pPr>
        <w:pStyle w:val="1"/>
        <w:numPr>
          <w:numId w:val="0"/>
          <w:ilvl w:val="0"/>
        </w:numPr>
        <w:spacing w:before="0"/>
        <w:ind w:firstLine="567"/>
      </w:pPr>
    </w:p>
    <w:p>
      <w:pPr>
        <w:pStyle w:val="41"/>
        <w:spacing w:before="0"/>
        <w:jc w:val="both"/>
      </w:pPr>
    </w:p>
    <w:p>
      <w:pPr>
        <w:pStyle w:val="af3"/>
        <w:spacing w:before="0"/>
        <w:rPr>
          <w:szCs w:val="24"/>
        </w:rPr>
      </w:pPr>
    </w:p>
    <w:p>
      <w:pPr>
        <w:pStyle w:val="af3"/>
        <w:spacing w:before="0"/>
        <w:rPr>
          <w:szCs w:val="24"/>
        </w:rPr>
      </w:pPr>
      <w:r>
        <w:rPr>
          <w:szCs w:val="24"/>
        </w:rPr>
        <w:t xml:space="preserve">Внести в Закон Пензенской области от 31 мая 2024 года № 4311-ЗПО «О квотировании рабочих мест для инвалидов в Пензенской области» (Пензенские губернские ведомости, 2024, № 50) следующие изменения:</w:t>
      </w:r>
    </w:p>
    <w:p>
      <w:pPr>
        <w:pStyle w:val="af3"/>
        <w:numPr>
          <w:numId w:val="11"/>
          <w:ilvl w:val="0"/>
        </w:numPr>
        <w:spacing w:before="0"/>
        <w:ind w:left="0" w:firstLine="567"/>
        <w:rPr>
          <w:szCs w:val="24"/>
        </w:rPr>
      </w:pPr>
      <w:r>
        <w:rPr>
          <w:szCs w:val="24"/>
        </w:rPr>
        <w:t xml:space="preserve">в статье 1 Закона</w:t>
      </w:r>
      <w:r>
        <w:rPr>
          <w:szCs w:val="24"/>
        </w:rPr>
        <w:t xml:space="preserve"> </w:t>
      </w:r>
      <w:r>
        <w:rPr>
          <w:szCs w:val="24"/>
        </w:rPr>
        <w:t xml:space="preserve">слова «с Законом Российской Федерации от 19 апреля 1991 года № 1032-1»</w:t>
      </w:r>
      <w:r>
        <w:rPr>
          <w:szCs w:val="24"/>
        </w:rPr>
        <w:t xml:space="preserve"> </w:t>
      </w:r>
      <w:r>
        <w:rPr>
          <w:szCs w:val="24"/>
        </w:rPr>
        <w:t xml:space="preserve">заменить словами «с Федеральным законом от 12 декабря 2023 года № 565-ФЗ»;</w:t>
      </w:r>
    </w:p>
    <w:p>
      <w:pPr>
        <w:pStyle w:val="af3"/>
        <w:numPr>
          <w:numId w:val="11"/>
          <w:ilvl w:val="0"/>
        </w:numPr>
        <w:spacing w:before="0"/>
        <w:ind w:left="0" w:firstLine="567"/>
        <w:rPr>
          <w:szCs w:val="24"/>
        </w:rPr>
      </w:pPr>
      <w:r>
        <w:rPr>
          <w:szCs w:val="24"/>
        </w:rPr>
        <w:t xml:space="preserve">статью 3 изложить в следующей редакции:</w:t>
      </w:r>
    </w:p>
    <w:p>
      <w:pPr>
        <w:ind w:firstLine="567"/>
        <w:jc w:val="both"/>
        <w:rPr>
          <w:bCs/>
          <w:szCs w:val="24"/>
        </w:rPr>
      </w:pPr>
    </w:p>
    <w:p>
      <w:pPr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«Статья 3. Установление квоты для приема на работу инвалидов</w:t>
      </w:r>
    </w:p>
    <w:p>
      <w:pPr>
        <w:ind w:firstLine="567"/>
        <w:jc w:val="both"/>
        <w:rPr>
          <w:bCs/>
          <w:szCs w:val="24"/>
        </w:rPr>
      </w:pPr>
    </w:p>
    <w:p>
      <w:pPr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Работодателям, численность работников которых </w:t>
      </w:r>
      <w:r>
        <w:rPr>
          <w:bCs/>
          <w:szCs w:val="24"/>
        </w:rPr>
        <w:t xml:space="preserve">составляет от 36 до 100 человек включительно, устанавливается квота для приема на работу инвалидов в размере </w:t>
      </w:r>
      <w:r>
        <w:rPr>
          <w:bCs/>
          <w:szCs w:val="24"/>
        </w:rPr>
        <w:t xml:space="preserve">2</w:t>
      </w:r>
      <w:r>
        <w:rPr>
          <w:bCs/>
          <w:szCs w:val="24"/>
        </w:rPr>
        <w:t xml:space="preserve"> процента от среднесписочной численности работников.</w:t>
      </w:r>
    </w:p>
    <w:p>
      <w:pPr>
        <w:ind w:firstLine="567"/>
        <w:jc w:val="both"/>
        <w:rPr>
          <w:szCs w:val="24"/>
        </w:rPr>
      </w:pPr>
      <w:r>
        <w:rPr>
          <w:bCs/>
          <w:szCs w:val="24"/>
        </w:rPr>
        <w:t xml:space="preserve">Работодателям, численность работников которых превышает 100 человек, устанавливается квота для приема на работу инвалидов в размере </w:t>
      </w:r>
      <w:r>
        <w:rPr>
          <w:bCs/>
          <w:szCs w:val="24"/>
        </w:rPr>
        <w:t xml:space="preserve">2,5</w:t>
      </w:r>
      <w:r>
        <w:rPr>
          <w:bCs/>
          <w:szCs w:val="24"/>
        </w:rPr>
        <w:t xml:space="preserve"> процента от</w:t>
      </w:r>
      <w:r>
        <w:rPr>
          <w:bCs/>
          <w:szCs w:val="24"/>
        </w:rPr>
        <w:t xml:space="preserve"> среднесписочной численности работников</w:t>
      </w:r>
      <w:r>
        <w:rPr>
          <w:szCs w:val="24"/>
        </w:rPr>
        <w:t xml:space="preserve">. </w:t>
      </w:r>
    </w:p>
    <w:p>
      <w:pPr>
        <w:ind w:firstLine="567"/>
        <w:jc w:val="both"/>
        <w:rPr>
          <w:szCs w:val="24"/>
        </w:rPr>
      </w:pPr>
      <w:r>
        <w:rPr>
          <w:szCs w:val="24"/>
        </w:rPr>
        <w:t xml:space="preserve">Создание рабочих мест для трудоустройства инвалидов в счет установленных квот осуществляется работодателями за счет собственных средств и иных источников, предусмотренных законодательством Российской Федерации и законодательством Пензенской области.».</w:t>
      </w:r>
    </w:p>
    <w:p>
      <w:pPr>
        <w:ind w:firstLine="540"/>
        <w:jc w:val="both"/>
        <w:rPr>
          <w:szCs w:val="24"/>
        </w:rPr>
      </w:pPr>
    </w:p>
    <w:p>
      <w:pPr>
        <w:pStyle w:val="1"/>
        <w:numPr>
          <w:numId w:val="0"/>
          <w:ilvl w:val="0"/>
        </w:numPr>
        <w:ind w:firstLine="567"/>
        <w:rPr>
          <w:b/>
        </w:rPr>
      </w:pPr>
      <w:r>
        <w:rPr>
          <w:b/>
        </w:rPr>
        <w:t xml:space="preserve">Статья 3</w:t>
      </w:r>
    </w:p>
    <w:p>
      <w:pPr>
        <w:pStyle w:val="1"/>
        <w:numPr>
          <w:numId w:val="12"/>
          <w:ilvl w:val="0"/>
        </w:numPr>
        <w:ind w:left="142" w:firstLine="774"/>
      </w:pPr>
      <w:r>
        <w:t xml:space="preserve">Настоящий Закон вступает в силу по истечении десяти дней после дня его официального опубликования, за исключением  </w:t>
      </w:r>
      <w:r>
        <w:t xml:space="preserve">пункта 1 </w:t>
      </w:r>
      <w:r>
        <w:t xml:space="preserve">статьи 1 настоящего Закона.</w:t>
      </w:r>
    </w:p>
    <w:p>
      <w:pPr>
        <w:pStyle w:val="1"/>
        <w:numPr>
          <w:numId w:val="12"/>
          <w:ilvl w:val="0"/>
        </w:numPr>
        <w:ind w:left="142" w:firstLine="774"/>
      </w:pPr>
      <w:r>
        <w:t xml:space="preserve">Пункт 1 с</w:t>
      </w:r>
      <w:r>
        <w:t xml:space="preserve">тать</w:t>
      </w:r>
      <w:r>
        <w:t xml:space="preserve">и</w:t>
      </w:r>
      <w:r>
        <w:t xml:space="preserve"> 1 настоящего Закона вступа</w:t>
      </w:r>
      <w:r>
        <w:t xml:space="preserve">е</w:t>
      </w:r>
      <w:r>
        <w:t xml:space="preserve">т в силу с 1 января 2025 года.</w:t>
      </w:r>
    </w:p>
    <w:sectPr>
      <w:headerReference w:type="first" r:id="rId9"/>
      <w:pgSz w:w="11907" w:h="16840"/>
      <w:pgMar w:top="1418" w:right="993" w:bottom="1418" w:left="1418" w:header="720" w:footer="720" w:gutter="0"/>
      <w:cols w:space="720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before="1920" w:after="720"/>
      <w:jc w:val="center"/>
      <w:rPr>
        <w:b/>
        <w:sz w:val="56"/>
      </w:rPr>
    </w:pPr>
    <w:r>
      <w:rPr>
        <w:b/>
        <w:spacing w:val="20"/>
        <w:sz w:val="56"/>
      </w:rPr>
      <w:t xml:space="preserve">ЗАКОН</w:t>
    </w:r>
    <w:r>
      <w:rPr>
        <w:b/>
        <w:sz w:val="56"/>
      </w:rPr>
      <w:br/>
      <w:t xml:space="preserve">Пензенской области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EB0247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280D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04B9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36CE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8050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C0DD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2638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FCEE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5454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multiLevelType w:val="hybridMultilevel"/>
    <w:lvl w:ilvl="0" w:tplc="E0560258">
      <w:start w:val="1"/>
      <w:numFmt w:val="decimal"/>
      <w:lvlText w:val="%1)"/>
      <w:lvlJc w:val="left"/>
      <w:pPr>
        <w:ind w:left="1276" w:hanging="360"/>
      </w:pPr>
    </w:lvl>
    <w:lvl w:ilvl="1" w:tplc="6B7A82E0">
      <w:start w:val="1"/>
      <w:numFmt w:val="lowerLetter"/>
      <w:lvlText w:val="%2."/>
      <w:lvlJc w:val="left"/>
      <w:pPr>
        <w:ind w:left="1996" w:hanging="360"/>
      </w:pPr>
    </w:lvl>
    <w:lvl w:ilvl="2" w:tplc="4B64A700">
      <w:start w:val="1"/>
      <w:numFmt w:val="lowerRoman"/>
      <w:lvlText w:val="%3."/>
      <w:lvlJc w:val="right"/>
      <w:pPr>
        <w:ind w:left="2716" w:hanging="180"/>
      </w:pPr>
    </w:lvl>
    <w:lvl w:ilvl="3" w:tplc="25766368">
      <w:start w:val="1"/>
      <w:numFmt w:val="decimal"/>
      <w:lvlText w:val="%4."/>
      <w:lvlJc w:val="left"/>
      <w:pPr>
        <w:ind w:left="3436" w:hanging="360"/>
      </w:pPr>
    </w:lvl>
    <w:lvl w:ilvl="4" w:tplc="FA9CE722">
      <w:start w:val="1"/>
      <w:numFmt w:val="lowerLetter"/>
      <w:lvlText w:val="%5."/>
      <w:lvlJc w:val="left"/>
      <w:pPr>
        <w:ind w:left="4156" w:hanging="360"/>
      </w:pPr>
    </w:lvl>
    <w:lvl w:ilvl="5" w:tplc="C8F6FF7A">
      <w:start w:val="1"/>
      <w:numFmt w:val="lowerRoman"/>
      <w:lvlText w:val="%6."/>
      <w:lvlJc w:val="right"/>
      <w:pPr>
        <w:ind w:left="4876" w:hanging="180"/>
      </w:pPr>
    </w:lvl>
    <w:lvl w:ilvl="6" w:tplc="966E7848">
      <w:start w:val="1"/>
      <w:numFmt w:val="decimal"/>
      <w:lvlText w:val="%7."/>
      <w:lvlJc w:val="left"/>
      <w:pPr>
        <w:ind w:left="5596" w:hanging="360"/>
      </w:pPr>
    </w:lvl>
    <w:lvl w:ilvl="7" w:tplc="EF0C26C2">
      <w:start w:val="1"/>
      <w:numFmt w:val="lowerLetter"/>
      <w:lvlText w:val="%8."/>
      <w:lvlJc w:val="left"/>
      <w:pPr>
        <w:ind w:left="6316" w:hanging="360"/>
      </w:pPr>
    </w:lvl>
    <w:lvl w:ilvl="8" w:tplc="5606922C">
      <w:start w:val="1"/>
      <w:numFmt w:val="lowerRoman"/>
      <w:lvlText w:val="%9."/>
      <w:lvlJc w:val="right"/>
      <w:pPr>
        <w:ind w:left="7036" w:hanging="180"/>
      </w:pPr>
    </w:lvl>
  </w:abstractNum>
  <w:abstractNum w:abstractNumId="2">
    <w:multiLevelType w:val="hybridMultilevel"/>
    <w:lvl w:ilvl="0" w:tplc="755E0A8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710A08F2">
      <w:start w:val="1"/>
      <w:numFmt w:val="lowerLetter"/>
      <w:lvlText w:val="%2."/>
      <w:lvlJc w:val="left"/>
      <w:pPr>
        <w:ind w:left="1785" w:hanging="360"/>
      </w:pPr>
    </w:lvl>
    <w:lvl w:ilvl="2" w:tplc="7138F43A">
      <w:start w:val="1"/>
      <w:numFmt w:val="lowerRoman"/>
      <w:lvlText w:val="%3."/>
      <w:lvlJc w:val="right"/>
      <w:pPr>
        <w:ind w:left="2505" w:hanging="180"/>
      </w:pPr>
    </w:lvl>
    <w:lvl w:ilvl="3" w:tplc="D5DE1D00">
      <w:start w:val="1"/>
      <w:numFmt w:val="decimal"/>
      <w:lvlText w:val="%4."/>
      <w:lvlJc w:val="left"/>
      <w:pPr>
        <w:ind w:left="3225" w:hanging="360"/>
      </w:pPr>
    </w:lvl>
    <w:lvl w:ilvl="4" w:tplc="E7B49BE6">
      <w:start w:val="1"/>
      <w:numFmt w:val="lowerLetter"/>
      <w:lvlText w:val="%5."/>
      <w:lvlJc w:val="left"/>
      <w:pPr>
        <w:ind w:left="3945" w:hanging="360"/>
      </w:pPr>
    </w:lvl>
    <w:lvl w:ilvl="5" w:tplc="32AC5772">
      <w:start w:val="1"/>
      <w:numFmt w:val="lowerRoman"/>
      <w:lvlText w:val="%6."/>
      <w:lvlJc w:val="right"/>
      <w:pPr>
        <w:ind w:left="4665" w:hanging="180"/>
      </w:pPr>
    </w:lvl>
    <w:lvl w:ilvl="6" w:tplc="0B808C58">
      <w:start w:val="1"/>
      <w:numFmt w:val="decimal"/>
      <w:lvlText w:val="%7."/>
      <w:lvlJc w:val="left"/>
      <w:pPr>
        <w:ind w:left="5385" w:hanging="360"/>
      </w:pPr>
    </w:lvl>
    <w:lvl w:ilvl="7" w:tplc="9542B20C">
      <w:start w:val="1"/>
      <w:numFmt w:val="lowerLetter"/>
      <w:lvlText w:val="%8."/>
      <w:lvlJc w:val="left"/>
      <w:pPr>
        <w:ind w:left="6105" w:hanging="360"/>
      </w:pPr>
    </w:lvl>
    <w:lvl w:ilvl="8" w:tplc="227A2ED4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multiLevelType w:val="hybridMultilevel"/>
    <w:lvl w:ilvl="0" w:tplc="8348DA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647" w:hanging="360"/>
      </w:pPr>
    </w:lvl>
    <w:lvl w:ilvl="2" w:tentative="1" w:tplc="0419001B">
      <w:start w:val="1"/>
      <w:numFmt w:val="lowerRoman"/>
      <w:lvlText w:val="%3."/>
      <w:lvlJc w:val="right"/>
      <w:pPr>
        <w:ind w:left="2367" w:hanging="180"/>
      </w:pPr>
    </w:lvl>
    <w:lvl w:ilvl="3" w:tentative="1" w:tplc="0419000F">
      <w:start w:val="1"/>
      <w:numFmt w:val="decimal"/>
      <w:lvlText w:val="%4."/>
      <w:lvlJc w:val="left"/>
      <w:pPr>
        <w:ind w:left="3087" w:hanging="360"/>
      </w:pPr>
    </w:lvl>
    <w:lvl w:ilvl="4" w:tentative="1" w:tplc="04190019">
      <w:start w:val="1"/>
      <w:numFmt w:val="lowerLetter"/>
      <w:lvlText w:val="%5."/>
      <w:lvlJc w:val="left"/>
      <w:pPr>
        <w:ind w:left="3807" w:hanging="360"/>
      </w:pPr>
    </w:lvl>
    <w:lvl w:ilvl="5" w:tentative="1" w:tplc="0419001B">
      <w:start w:val="1"/>
      <w:numFmt w:val="lowerRoman"/>
      <w:lvlText w:val="%6."/>
      <w:lvlJc w:val="right"/>
      <w:pPr>
        <w:ind w:left="4527" w:hanging="180"/>
      </w:pPr>
    </w:lvl>
    <w:lvl w:ilvl="6" w:tentative="1" w:tplc="0419000F">
      <w:start w:val="1"/>
      <w:numFmt w:val="decimal"/>
      <w:lvlText w:val="%7."/>
      <w:lvlJc w:val="left"/>
      <w:pPr>
        <w:ind w:left="5247" w:hanging="360"/>
      </w:pPr>
    </w:lvl>
    <w:lvl w:ilvl="7" w:tentative="1" w:tplc="04190019">
      <w:start w:val="1"/>
      <w:numFmt w:val="lowerLetter"/>
      <w:lvlText w:val="%8."/>
      <w:lvlJc w:val="left"/>
      <w:pPr>
        <w:ind w:left="5967" w:hanging="360"/>
      </w:pPr>
    </w:lvl>
    <w:lvl w:ilvl="8" w:tentative="1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 w:tplc="BB506052">
      <w:start w:val="1"/>
      <w:numFmt w:val="none"/>
      <w:suff w:val="space"/>
      <w:lvlText w:val=""/>
      <w:lvlJc w:val="left"/>
      <w:pPr>
        <w:ind w:left="0" w:firstLine="0"/>
      </w:pPr>
      <w:rPr>
        <w:rFonts w:hint="default" w:ascii="Times New Roman" w:hAnsi="Times New Roman"/>
        <w:b w:val="0"/>
        <w:i w:val="0"/>
        <w:caps/>
        <w:strike w:val="0"/>
        <w:sz w:val="24"/>
        <w:szCs w:val="24"/>
        <w:vertAlign w:val="baseline"/>
      </w:rPr>
    </w:lvl>
    <w:lvl w:ilvl="1" w:tplc="9260D952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 w:tplc="98AC864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 w:tplc="FB2682FC">
      <w:start w:val="1480"/>
      <w:numFmt w:val="decimal"/>
      <w:lvlRestart w:val="2"/>
      <w:pStyle w:val="4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 w:tplc="A4D03A92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 w:tplc="64408B2C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 w:tplc="8E6E7ACC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 w:tplc="4050C130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 w:tplc="DEF054DC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abstractNum w:abstractNumId="5">
    <w:multiLevelType w:val="hybridMultilevel"/>
    <w:lvl w:ilvl="0" w:tplc="D150601A">
      <w:start w:val="1"/>
      <w:numFmt w:val="decimal"/>
      <w:lvlText w:val="%1)"/>
      <w:lvlJc w:val="left"/>
      <w:pPr>
        <w:ind w:left="1276" w:hanging="360"/>
      </w:pPr>
    </w:lvl>
    <w:lvl w:ilvl="1" w:tplc="52421360">
      <w:start w:val="1"/>
      <w:numFmt w:val="lowerLetter"/>
      <w:lvlText w:val="%2."/>
      <w:lvlJc w:val="left"/>
      <w:pPr>
        <w:ind w:left="1996" w:hanging="360"/>
      </w:pPr>
    </w:lvl>
    <w:lvl w:ilvl="2" w:tplc="C152FA44">
      <w:start w:val="1"/>
      <w:numFmt w:val="lowerRoman"/>
      <w:lvlText w:val="%3."/>
      <w:lvlJc w:val="right"/>
      <w:pPr>
        <w:ind w:left="2716" w:hanging="180"/>
      </w:pPr>
    </w:lvl>
    <w:lvl w:ilvl="3" w:tplc="91FACDD2">
      <w:start w:val="1"/>
      <w:numFmt w:val="decimal"/>
      <w:lvlText w:val="%4."/>
      <w:lvlJc w:val="left"/>
      <w:pPr>
        <w:ind w:left="3436" w:hanging="360"/>
      </w:pPr>
    </w:lvl>
    <w:lvl w:ilvl="4" w:tplc="7D5CB82E">
      <w:start w:val="1"/>
      <w:numFmt w:val="lowerLetter"/>
      <w:lvlText w:val="%5."/>
      <w:lvlJc w:val="left"/>
      <w:pPr>
        <w:ind w:left="4156" w:hanging="360"/>
      </w:pPr>
    </w:lvl>
    <w:lvl w:ilvl="5" w:tplc="46B28894">
      <w:start w:val="1"/>
      <w:numFmt w:val="lowerRoman"/>
      <w:lvlText w:val="%6."/>
      <w:lvlJc w:val="right"/>
      <w:pPr>
        <w:ind w:left="4876" w:hanging="180"/>
      </w:pPr>
    </w:lvl>
    <w:lvl w:ilvl="6" w:tplc="29809600">
      <w:start w:val="1"/>
      <w:numFmt w:val="decimal"/>
      <w:lvlText w:val="%7."/>
      <w:lvlJc w:val="left"/>
      <w:pPr>
        <w:ind w:left="5596" w:hanging="360"/>
      </w:pPr>
    </w:lvl>
    <w:lvl w:ilvl="7" w:tplc="24842B0C">
      <w:start w:val="1"/>
      <w:numFmt w:val="lowerLetter"/>
      <w:lvlText w:val="%8."/>
      <w:lvlJc w:val="left"/>
      <w:pPr>
        <w:ind w:left="6316" w:hanging="360"/>
      </w:pPr>
    </w:lvl>
    <w:lvl w:ilvl="8" w:tplc="F43A14A4">
      <w:start w:val="1"/>
      <w:numFmt w:val="lowerRoman"/>
      <w:lvlText w:val="%9."/>
      <w:lvlJc w:val="right"/>
      <w:pPr>
        <w:ind w:left="7036" w:hanging="180"/>
      </w:pPr>
    </w:lvl>
  </w:abstractNum>
  <w:abstractNum w:abstractNumId="6">
    <w:multiLevelType w:val="hybridMultilevel"/>
    <w:lvl w:ilvl="0" w:tplc="9E00E02A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 w:tplc="2FCE694C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 w:tplc="DF382038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 w:tplc="81C01806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 w:tplc="1050158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 w:tplc="F76C8ABC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 w:tplc="BCE2A43E">
      <w:start w:val="1"/>
      <w:numFmt w:val="none"/>
      <w:pStyle w:val="71"/>
      <w:lvlText w:val=""/>
      <w:lvlJc w:val="left"/>
      <w:pPr>
        <w:tabs>
          <w:tab w:val="num" w:pos="4250"/>
        </w:tabs>
        <w:ind w:left="4250" w:hanging="708"/>
      </w:pPr>
    </w:lvl>
    <w:lvl w:ilvl="7" w:tplc="6BC83A8E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 w:tplc="E8022294">
      <w:start w:val="1"/>
      <w:numFmt w:val="none"/>
      <w:lvlRestart w:val="0"/>
      <w:pStyle w:val="91"/>
      <w:suff w:val="nothing"/>
      <w:lvlText w:val=""/>
      <w:lvlJc w:val="left"/>
      <w:pPr>
        <w:ind w:left="0" w:firstLine="4958"/>
      </w:pPr>
    </w:lvl>
  </w:abstractNum>
  <w:abstractNum w:abstractNumId="7">
    <w:multiLevelType w:val="hybridMultilevel"/>
    <w:lvl w:ilvl="0" w:tplc="1EE800B4">
      <w:start w:val="1"/>
      <w:numFmt w:val="decimal"/>
      <w:lvlText w:val="%1)"/>
      <w:lvlJc w:val="left"/>
      <w:pPr>
        <w:ind w:left="1276" w:hanging="360"/>
      </w:pPr>
    </w:lvl>
    <w:lvl w:ilvl="1" w:tplc="583ED8C8">
      <w:start w:val="1"/>
      <w:numFmt w:val="lowerLetter"/>
      <w:lvlText w:val="%2."/>
      <w:lvlJc w:val="left"/>
      <w:pPr>
        <w:ind w:left="1996" w:hanging="360"/>
      </w:pPr>
    </w:lvl>
    <w:lvl w:ilvl="2" w:tplc="09322B76">
      <w:start w:val="1"/>
      <w:numFmt w:val="lowerRoman"/>
      <w:lvlText w:val="%3."/>
      <w:lvlJc w:val="right"/>
      <w:pPr>
        <w:ind w:left="2716" w:hanging="180"/>
      </w:pPr>
    </w:lvl>
    <w:lvl w:ilvl="3" w:tplc="9C56157E">
      <w:start w:val="1"/>
      <w:numFmt w:val="decimal"/>
      <w:lvlText w:val="%4."/>
      <w:lvlJc w:val="left"/>
      <w:pPr>
        <w:ind w:left="3436" w:hanging="360"/>
      </w:pPr>
    </w:lvl>
    <w:lvl w:ilvl="4" w:tplc="E37C8898">
      <w:start w:val="1"/>
      <w:numFmt w:val="lowerLetter"/>
      <w:lvlText w:val="%5."/>
      <w:lvlJc w:val="left"/>
      <w:pPr>
        <w:ind w:left="4156" w:hanging="360"/>
      </w:pPr>
    </w:lvl>
    <w:lvl w:ilvl="5" w:tplc="CAF0DE1A">
      <w:start w:val="1"/>
      <w:numFmt w:val="lowerRoman"/>
      <w:lvlText w:val="%6."/>
      <w:lvlJc w:val="right"/>
      <w:pPr>
        <w:ind w:left="4876" w:hanging="180"/>
      </w:pPr>
    </w:lvl>
    <w:lvl w:ilvl="6" w:tplc="26B8C698">
      <w:start w:val="1"/>
      <w:numFmt w:val="decimal"/>
      <w:lvlText w:val="%7."/>
      <w:lvlJc w:val="left"/>
      <w:pPr>
        <w:ind w:left="5596" w:hanging="360"/>
      </w:pPr>
    </w:lvl>
    <w:lvl w:ilvl="7" w:tplc="43B015AA">
      <w:start w:val="1"/>
      <w:numFmt w:val="lowerLetter"/>
      <w:lvlText w:val="%8."/>
      <w:lvlJc w:val="left"/>
      <w:pPr>
        <w:ind w:left="6316" w:hanging="360"/>
      </w:pPr>
    </w:lvl>
    <w:lvl w:ilvl="8" w:tplc="6B02C94E">
      <w:start w:val="1"/>
      <w:numFmt w:val="lowerRoman"/>
      <w:lvlText w:val="%9."/>
      <w:lvlJc w:val="right"/>
      <w:pPr>
        <w:ind w:left="7036" w:hanging="180"/>
      </w:pPr>
    </w:lvl>
  </w:abstractNum>
  <w:abstractNum w:abstractNumId="8">
    <w:multiLevelType w:val="hybridMultilevel"/>
    <w:lvl w:ilvl="0" w:tplc="18BEAEEE">
      <w:start w:val="1"/>
      <w:numFmt w:val="none"/>
      <w:pStyle w:val="11"/>
      <w:suff w:val="nothing"/>
      <w:lvlText w:val=""/>
      <w:lvlJc w:val="left"/>
      <w:pPr>
        <w:ind w:left="0" w:firstLine="0"/>
      </w:pPr>
      <w:rPr>
        <w:rFonts w:hint="default"/>
      </w:rPr>
    </w:lvl>
    <w:lvl w:ilvl="1" w:tplc="61345F6C">
      <w:start w:val="1"/>
      <w:numFmt w:val="none"/>
      <w:lvlRestart w:val="0"/>
      <w:pStyle w:val="21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 w:tplc="3156FE40">
      <w:start w:val="1"/>
      <w:numFmt w:val="decimal"/>
      <w:pStyle w:val="31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 w:tplc="7CD0D2E8">
      <w:start w:val="1"/>
      <w:numFmt w:val="decimal"/>
      <w:lvlRestart w:val="2"/>
      <w:pStyle w:val="41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 w:tplc="877E7D62">
      <w:start w:val="1"/>
      <w:numFmt w:val="none"/>
      <w:lvlRestart w:val="0"/>
      <w:pStyle w:val="51"/>
      <w:suff w:val="nothing"/>
      <w:lvlText w:val="%5"/>
      <w:lvlJc w:val="left"/>
      <w:pPr>
        <w:ind w:left="284" w:firstLine="0"/>
      </w:pPr>
      <w:rPr>
        <w:rFonts w:hint="default"/>
      </w:rPr>
    </w:lvl>
    <w:lvl w:ilvl="5" w:tplc="A7142AB4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ascii="Times New Roman" w:hAnsi="Times New Roman" w:eastAsia="Times New Roman" w:cs="Times New Roman"/>
      </w:rPr>
    </w:lvl>
    <w:lvl w:ilvl="6" w:tplc="C6600254">
      <w:start w:val="1"/>
      <w:numFmt w:val="decimal"/>
      <w:pStyle w:val="2"/>
      <w:suff w:val="space"/>
      <w:lvlText w:val="%7) "/>
      <w:lvlJc w:val="left"/>
      <w:pPr>
        <w:ind w:left="284" w:firstLine="283"/>
      </w:pPr>
      <w:rPr>
        <w:rFonts w:hint="default"/>
      </w:rPr>
    </w:lvl>
    <w:lvl w:ilvl="7" w:tplc="9BA0C448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 w:tplc="7FAA2A36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multiLevelType w:val="hybridMultilevel"/>
    <w:lvl w:ilvl="0" w:tplc="987C595E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hint="default" w:ascii="Symbol" w:hAnsi="Symbol"/>
      </w:rPr>
    </w:lvl>
    <w:lvl w:ilvl="1" w:tplc="CBB0C4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C2585D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72E65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E3AFB0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EDBE1E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CD6F0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C13C9A0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416C20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 w:tplc="2AF0914A">
      <w:start w:val="1"/>
      <w:numFmt w:val="none"/>
      <w:pStyle w:val="20"/>
      <w:suff w:val="space"/>
      <w:lvlText w:val=""/>
      <w:lvlJc w:val="left"/>
      <w:pPr>
        <w:ind w:left="1725" w:firstLine="0"/>
      </w:pPr>
      <w:rPr>
        <w:rFonts w:hint="default" w:ascii="Times New Roman" w:hAnsi="Times New Roman"/>
        <w:b w:val="0"/>
        <w:i w:val="0"/>
        <w:caps/>
        <w:strike w:val="0"/>
        <w:sz w:val="24"/>
        <w:szCs w:val="24"/>
        <w:vertAlign w:val="baseline"/>
      </w:rPr>
    </w:lvl>
    <w:lvl w:ilvl="1" w:tplc="3B42D4DA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hint="default" w:ascii="Times New Roman" w:hAnsi="Times New Roman" w:cs="Times New Roman"/>
        <w:sz w:val="24"/>
      </w:rPr>
    </w:lvl>
    <w:lvl w:ilvl="2" w:tplc="690A41F6">
      <w:start w:val="400"/>
      <w:numFmt w:val="decimal"/>
      <w:pStyle w:val="30"/>
      <w:suff w:val="space"/>
      <w:lvlText w:val="№ %3 - 14/4  ЗС"/>
      <w:lvlJc w:val="left"/>
      <w:pPr>
        <w:ind w:left="1588" w:hanging="1588"/>
      </w:pPr>
      <w:rPr>
        <w:rFonts w:hint="default" w:ascii="Times New Roman" w:hAnsi="Times New Roman" w:cs="Times New Roman"/>
      </w:rPr>
    </w:lvl>
    <w:lvl w:ilvl="3" w:tplc="0374B2B0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 w:tplc="8DC09A8E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 w:tplc="A49217C8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 w:tplc="B28AC81E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 w:tplc="A8F44230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 w:tplc="AF5A989E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11">
    <w:multiLevelType w:val="hybridMultilevel"/>
    <w:lvl w:ilvl="0" w:tplc="5C5EE626">
      <w:start w:val="1"/>
      <w:numFmt w:val="decimal"/>
      <w:lvlText w:val="%1)"/>
      <w:lvlJc w:val="left"/>
      <w:pPr>
        <w:ind w:left="1211" w:hanging="360"/>
      </w:pPr>
    </w:lvl>
    <w:lvl w:ilvl="1" w:tplc="E3803F54">
      <w:start w:val="1"/>
      <w:numFmt w:val="lowerLetter"/>
      <w:lvlText w:val="%2."/>
      <w:lvlJc w:val="left"/>
      <w:pPr>
        <w:ind w:left="1931" w:hanging="360"/>
      </w:pPr>
    </w:lvl>
    <w:lvl w:ilvl="2" w:tplc="DE365270">
      <w:start w:val="1"/>
      <w:numFmt w:val="lowerRoman"/>
      <w:lvlText w:val="%3."/>
      <w:lvlJc w:val="right"/>
      <w:pPr>
        <w:ind w:left="2651" w:hanging="180"/>
      </w:pPr>
    </w:lvl>
    <w:lvl w:ilvl="3" w:tplc="20B40C5E">
      <w:start w:val="1"/>
      <w:numFmt w:val="decimal"/>
      <w:lvlText w:val="%4."/>
      <w:lvlJc w:val="left"/>
      <w:pPr>
        <w:ind w:left="3371" w:hanging="360"/>
      </w:pPr>
    </w:lvl>
    <w:lvl w:ilvl="4" w:tplc="D7AA2820">
      <w:start w:val="1"/>
      <w:numFmt w:val="lowerLetter"/>
      <w:lvlText w:val="%5."/>
      <w:lvlJc w:val="left"/>
      <w:pPr>
        <w:ind w:left="4091" w:hanging="360"/>
      </w:pPr>
    </w:lvl>
    <w:lvl w:ilvl="5" w:tplc="99024E72">
      <w:start w:val="1"/>
      <w:numFmt w:val="lowerRoman"/>
      <w:lvlText w:val="%6."/>
      <w:lvlJc w:val="right"/>
      <w:pPr>
        <w:ind w:left="4811" w:hanging="180"/>
      </w:pPr>
    </w:lvl>
    <w:lvl w:ilvl="6" w:tplc="E1BEFACA">
      <w:start w:val="1"/>
      <w:numFmt w:val="decimal"/>
      <w:lvlText w:val="%7."/>
      <w:lvlJc w:val="left"/>
      <w:pPr>
        <w:ind w:left="5531" w:hanging="360"/>
      </w:pPr>
    </w:lvl>
    <w:lvl w:ilvl="7" w:tplc="AD120988">
      <w:start w:val="1"/>
      <w:numFmt w:val="lowerLetter"/>
      <w:lvlText w:val="%8."/>
      <w:lvlJc w:val="left"/>
      <w:pPr>
        <w:ind w:left="6251" w:hanging="360"/>
      </w:pPr>
    </w:lvl>
    <w:lvl w:ilvl="8" w:tplc="FE803006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multiLevelType w:val="hybridMultilevel"/>
    <w:lvl w:ilvl="0" w:tplc="FF0ABBC8">
      <w:start w:val="1"/>
      <w:numFmt w:val="decimal"/>
      <w:lvlText w:val="%1."/>
      <w:lvlJc w:val="left"/>
      <w:pPr>
        <w:ind w:left="1276" w:hanging="360"/>
      </w:pPr>
      <w:rPr>
        <w:rFonts w:ascii="Times New Roman" w:hAnsi="Times New Roman" w:eastAsia="Times New Roman" w:cs="Times New Roman"/>
      </w:rPr>
    </w:lvl>
    <w:lvl w:ilvl="1" w:tplc="2C82CC0E">
      <w:start w:val="1"/>
      <w:numFmt w:val="lowerLetter"/>
      <w:lvlText w:val="%2."/>
      <w:lvlJc w:val="left"/>
      <w:pPr>
        <w:ind w:left="1996" w:hanging="360"/>
      </w:pPr>
    </w:lvl>
    <w:lvl w:ilvl="2" w:tplc="E0F48690">
      <w:start w:val="1"/>
      <w:numFmt w:val="lowerRoman"/>
      <w:lvlText w:val="%3."/>
      <w:lvlJc w:val="right"/>
      <w:pPr>
        <w:ind w:left="2716" w:hanging="180"/>
      </w:pPr>
    </w:lvl>
    <w:lvl w:ilvl="3" w:tplc="A2E80A0A">
      <w:start w:val="1"/>
      <w:numFmt w:val="decimal"/>
      <w:lvlText w:val="%4."/>
      <w:lvlJc w:val="left"/>
      <w:pPr>
        <w:ind w:left="3436" w:hanging="360"/>
      </w:pPr>
    </w:lvl>
    <w:lvl w:ilvl="4" w:tplc="6866A54A">
      <w:start w:val="1"/>
      <w:numFmt w:val="lowerLetter"/>
      <w:lvlText w:val="%5."/>
      <w:lvlJc w:val="left"/>
      <w:pPr>
        <w:ind w:left="4156" w:hanging="360"/>
      </w:pPr>
    </w:lvl>
    <w:lvl w:ilvl="5" w:tplc="99D4D57A">
      <w:start w:val="1"/>
      <w:numFmt w:val="lowerRoman"/>
      <w:lvlText w:val="%6."/>
      <w:lvlJc w:val="right"/>
      <w:pPr>
        <w:ind w:left="4876" w:hanging="180"/>
      </w:pPr>
    </w:lvl>
    <w:lvl w:ilvl="6" w:tplc="3F7016D6">
      <w:start w:val="1"/>
      <w:numFmt w:val="decimal"/>
      <w:lvlText w:val="%7."/>
      <w:lvlJc w:val="left"/>
      <w:pPr>
        <w:ind w:left="5596" w:hanging="360"/>
      </w:pPr>
    </w:lvl>
    <w:lvl w:ilvl="7" w:tplc="7A8CE63A">
      <w:start w:val="1"/>
      <w:numFmt w:val="lowerLetter"/>
      <w:lvlText w:val="%8."/>
      <w:lvlJc w:val="left"/>
      <w:pPr>
        <w:ind w:left="6316" w:hanging="360"/>
      </w:pPr>
    </w:lvl>
    <w:lvl w:ilvl="8" w:tplc="DA14B1E2">
      <w:start w:val="1"/>
      <w:numFmt w:val="lowerRoman"/>
      <w:lvlText w:val="%9."/>
      <w:lvlJc w:val="right"/>
      <w:pPr>
        <w:ind w:left="7036" w:hanging="180"/>
      </w:p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0"/>
  </w:num>
  <w:num w:numId="5">
    <w:abstractNumId w:val="4"/>
  </w:num>
  <w:num w:numId="6">
    <w:abstractNumId w:val="9"/>
  </w:num>
  <w:num w:numId="7">
    <w:abstractNumId w:val="8"/>
  </w:num>
  <w:num w:numId="8">
    <w:abstractNumId w:val="2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2"/>
    </w:lvlOverride>
  </w:num>
  <w:num w:numId="10">
    <w:abstractNumId w:val="1"/>
  </w:num>
  <w:num w:numId="11">
    <w:abstractNumId w:val="11"/>
  </w:num>
  <w:num w:numId="12">
    <w:abstractNumId w:val="12"/>
  </w:num>
  <w:num w:numId="13">
    <w:abstractNumId w:val="7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Pr>
      <w:sz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Heading1" w:customStyle="1">
    <w:name w:val="Heading 1"/>
    <w:basedOn w:val="a"/>
    <w:next w:val="a"/>
    <w:link w:val="Heading1Char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 w:customStyle="1">
    <w:name w:val="Heading 2"/>
    <w:basedOn w:val="a"/>
    <w:next w:val="a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 w:customStyle="1">
    <w:name w:val="Heading 3"/>
    <w:basedOn w:val="a"/>
    <w:next w:val="a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 w:customStyle="1">
    <w:name w:val="Heading 4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 w:customStyle="1">
    <w:name w:val="Heading 5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Cs w:val="24"/>
    </w:rPr>
  </w:style>
  <w:style w:type="paragraph" w:styleId="Heading6" w:customStyle="1">
    <w:name w:val="Heading 6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 w:customStyle="1">
    <w:name w:val="Heading 7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 w:customStyle="1">
    <w:name w:val="Heading 8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 w:customStyle="1">
    <w:name w:val="Heading 9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a0"/>
    <w:link w:val="a3"/>
    <w:uiPriority w:val="10"/>
    <w:rPr>
      <w:sz w:val="48"/>
      <w:szCs w:val="48"/>
    </w:rPr>
  </w:style>
  <w:style w:type="character" w:styleId="SubtitleChar" w:customStyle="1">
    <w:name w:val="Subtitle Char"/>
    <w:basedOn w:val="a0"/>
    <w:link w:val="a4"/>
    <w:uiPriority w:val="11"/>
    <w:rPr>
      <w:sz w:val="24"/>
      <w:szCs w:val="24"/>
    </w:rPr>
  </w:style>
  <w:style w:type="character" w:styleId="QuoteChar" w:customStyle="1">
    <w:name w:val="Quote Char"/>
    <w:link w:val="22"/>
    <w:uiPriority w:val="29"/>
    <w:rPr>
      <w:i/>
    </w:rPr>
  </w:style>
  <w:style w:type="character" w:styleId="IntenseQuoteChar" w:customStyle="1">
    <w:name w:val="Intense Quote Char"/>
    <w:link w:val="a5"/>
    <w:uiPriority w:val="30"/>
    <w:rPr>
      <w:i/>
    </w:rPr>
  </w:style>
  <w:style w:type="paragraph" w:styleId="Header" w:customStyle="1">
    <w:name w:val="Header"/>
    <w:basedOn w:val="a"/>
    <w:link w:val="HeaderChar"/>
    <w:uiPriority w:val="99"/>
    <w:unhideWhenUsed/>
    <w:pPr>
      <w:tabs>
        <w:tab w:val="center" w:pos="7143"/>
        <w:tab w:val="right" w:pos="14287"/>
      </w:tabs>
    </w:pPr>
  </w:style>
  <w:style w:type="paragraph" w:styleId="Footer" w:customStyle="1">
    <w:name w:val="Footer"/>
    <w:basedOn w:val="a"/>
    <w:link w:val="CaptionChar"/>
    <w:uiPriority w:val="99"/>
    <w:unhideWhenUsed/>
    <w:pPr>
      <w:tabs>
        <w:tab w:val="center" w:pos="7143"/>
        <w:tab w:val="right" w:pos="14287"/>
      </w:tabs>
    </w:pPr>
  </w:style>
  <w:style w:type="paragraph" w:styleId="Caption" w:customStyle="1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FootnoteTextChar" w:customStyle="1">
    <w:name w:val="Footnote Text Char"/>
    <w:link w:val="a6"/>
    <w:uiPriority w:val="99"/>
    <w:rPr>
      <w:sz w:val="18"/>
    </w:rPr>
  </w:style>
  <w:style w:type="character" w:styleId="EndnoteTextChar" w:customStyle="1">
    <w:name w:val="Endnote Text Char"/>
    <w:link w:val="a7"/>
    <w:uiPriority w:val="99"/>
    <w:rPr>
      <w:sz w:val="20"/>
    </w:rPr>
  </w:style>
  <w:style w:type="character" w:styleId="Heading1Char" w:customStyle="1">
    <w:name w:val="Heading 1 Char"/>
    <w:basedOn w:val="a0"/>
    <w:link w:val="11"/>
    <w:uiPriority w:val="9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a0"/>
    <w:link w:val="21"/>
    <w:uiPriority w:val="9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a0"/>
    <w:link w:val="31"/>
    <w:uiPriority w:val="9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a0"/>
    <w:link w:val="41"/>
    <w:uiPriority w:val="9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a0"/>
    <w:link w:val="51"/>
    <w:uiPriority w:val="9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a0"/>
    <w:link w:val="61"/>
    <w:uiPriority w:val="9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a0"/>
    <w:link w:val="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a0"/>
    <w:link w:val="81"/>
    <w:uiPriority w:val="9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a0"/>
    <w:link w:val="91"/>
    <w:uiPriority w:val="9"/>
    <w:rPr>
      <w:rFonts w:ascii="Arial" w:hAnsi="Arial" w:eastAsia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No Spacing"/>
    <w:uiPriority w:val="1"/>
    <w:qFormat/>
  </w:style>
  <w:style w:type="paragraph" w:styleId="a3">
    <w:name w:val="Title"/>
    <w:basedOn w:val="a"/>
    <w:next w:val="a"/>
    <w:link w:val="aa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aa" w:customStyle="1">
    <w:name w:val="Название Знак"/>
    <w:basedOn w:val="a0"/>
    <w:link w:val="a3"/>
    <w:uiPriority w:val="10"/>
    <w:rPr>
      <w:sz w:val="48"/>
      <w:szCs w:val="48"/>
    </w:rPr>
  </w:style>
  <w:style w:type="paragraph" w:styleId="a4">
    <w:name w:val="Subtitle"/>
    <w:basedOn w:val="a"/>
    <w:next w:val="a"/>
    <w:link w:val="ab"/>
    <w:uiPriority w:val="11"/>
    <w:qFormat/>
    <w:pPr>
      <w:spacing w:before="200" w:after="200"/>
    </w:pPr>
    <w:rPr>
      <w:szCs w:val="24"/>
    </w:rPr>
  </w:style>
  <w:style w:type="character" w:styleId="ab" w:customStyle="1">
    <w:name w:val="Подзаголовок Знак"/>
    <w:basedOn w:val="a0"/>
    <w:link w:val="a4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styleId="23" w:customStyle="1">
    <w:name w:val="Цитата 2 Знак"/>
    <w:link w:val="22"/>
    <w:uiPriority w:val="29"/>
    <w:rPr>
      <w:i/>
    </w:rPr>
  </w:style>
  <w:style w:type="paragraph" w:styleId="a5">
    <w:name w:val="Intense Quote"/>
    <w:basedOn w:val="a"/>
    <w:next w:val="a"/>
    <w:link w:val="ac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ac" w:customStyle="1">
    <w:name w:val="Выделенная цитата Знак"/>
    <w:link w:val="a5"/>
    <w:uiPriority w:val="30"/>
    <w:rPr>
      <w:i/>
    </w:rPr>
  </w:style>
  <w:style w:type="character" w:styleId="HeaderChar" w:customStyle="1">
    <w:name w:val="Header Char"/>
    <w:basedOn w:val="a0"/>
    <w:link w:val="10"/>
    <w:uiPriority w:val="99"/>
  </w:style>
  <w:style w:type="character" w:styleId="FooterChar" w:customStyle="1">
    <w:name w:val="Footer Char"/>
    <w:basedOn w:val="a0"/>
    <w:uiPriority w:val="99"/>
  </w:style>
  <w:style w:type="paragraph" w:styleId="12" w:customStyle="1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CaptionChar" w:customStyle="1">
    <w:name w:val="Caption Char"/>
    <w:link w:val="13"/>
    <w:uiPriority w:val="99"/>
  </w:style>
  <w:style w:type="table" w:styleId="ad">
    <w:name w:val="Table Grid"/>
    <w:basedOn w:val="a1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TableGridLight" w:customStyle="1">
    <w:name w:val="Table Grid Light"/>
    <w:basedOn w:val="a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PlainTable1" w:customStyle="1">
    <w:name w:val="Plain Table 1"/>
    <w:basedOn w:val="a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1Horz">
      <w:tcPr>
        <w:shd w:val="clear" w:color="f2f2f2" w:themeColor="text1" w:themeTint="00" w:fill="f2f2f2" w:themeFill="text1" w:themeFillTint="00"/>
      </w:tcPr>
    </w:tblStylePr>
  </w:style>
  <w:style w:type="table" w:styleId="PlainTable2" w:customStyle="1">
    <w:name w:val="Plain Table 2"/>
    <w:basedOn w:val="a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PlainTable3" w:customStyle="1">
    <w:name w:val="Plain Table 3"/>
    <w:basedOn w:val="a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</w:style>
  <w:style w:type="table" w:styleId="PlainTable4" w:customStyle="1">
    <w:name w:val="Plain Table 4"/>
    <w:basedOn w:val="a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</w:style>
  <w:style w:type="table" w:styleId="PlainTable5" w:customStyle="1">
    <w:name w:val="Plain Table 5"/>
    <w:basedOn w:val="a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</w:style>
  <w:style w:type="table" w:styleId="GridTable1Light" w:customStyle="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</w:style>
  <w:style w:type="table" w:styleId="GridTable1Light-Accent1" w:customStyle="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</w:style>
  <w:style w:type="table" w:styleId="GridTable1Light-Accent2" w:customStyle="1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</w:style>
  <w:style w:type="table" w:styleId="GridTable1Light-Accent3" w:customStyle="1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styleId="GridTable1Light-Accent4" w:customStyle="1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styleId="GridTable1Light-Accent5" w:customStyle="1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</w:style>
  <w:style w:type="table" w:styleId="GridTable1Light-Accent6" w:customStyle="1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styleId="GridTable2" w:customStyle="1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2-Accent1" w:customStyle="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</w:style>
  <w:style w:type="table" w:styleId="GridTable2-Accent2" w:customStyle="1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2-Accent3" w:customStyle="1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2-Accent4" w:customStyle="1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2-Accent5" w:customStyle="1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2-Accent6" w:customStyle="1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GridTable3" w:customStyle="1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3-Accent1" w:customStyle="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</w:style>
  <w:style w:type="table" w:styleId="GridTable3-Accent2" w:customStyle="1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3-Accent3" w:customStyle="1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3-Accent4" w:customStyle="1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3-Accent5" w:customStyle="1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3-Accent6" w:customStyle="1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GridTable4" w:customStyle="1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4-Accent1" w:customStyle="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styleId="GridTable4-Accent2" w:customStyle="1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4-Accent3" w:customStyle="1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4-Accent4" w:customStyle="1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4-Accent5" w:customStyle="1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4-Accent6" w:customStyle="1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GridTable5Dark" w:customStyle="1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band1Horz">
      <w:tcPr>
        <w:shd w:val="clear" w:color="8a8a8a" w:themeColor="text1" w:themeTint="75" w:fill="8a8a8a" w:themeFill="text1" w:themeFillTint="75"/>
      </w:tcPr>
    </w:tblStylePr>
  </w:style>
  <w:style w:type="table" w:styleId="GridTable5Dark-Accent1" w:customStyle="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band1Horz">
      <w:tcPr>
        <w:shd w:val="clear" w:color="aec4e0" w:themeColor="accent1" w:themeTint="75" w:fill="aec4e0" w:themeFill="accent1" w:themeFillTint="75"/>
      </w:tcPr>
    </w:tblStylePr>
  </w:style>
  <w:style w:type="table" w:styleId="GridTable5Dark-Accent2" w:customStyle="1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styleId="GridTable5Dark-Accent3" w:customStyle="1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band1Horz">
      <w:tcPr>
        <w:shd w:val="clear" w:color="d0dfb2" w:themeColor="accent3" w:themeTint="75" w:fill="d0dfb2" w:themeFill="accent3" w:themeFillTint="75"/>
      </w:tcPr>
    </w:tblStylePr>
  </w:style>
  <w:style w:type="table" w:styleId="GridTable5Dark-Accent4" w:customStyle="1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styleId="GridTable5Dark-Accent5" w:customStyle="1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styleId="GridTable5Dark-Accent6" w:customStyle="1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styleId="GridTable6Colorful" w:customStyle="1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 w:customStyle="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 w:customStyle="1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 w:customStyle="1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 w:customStyle="1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 w:customStyle="1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 w:customStyle="1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 w:customStyle="1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 w:customStyle="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 w:customStyle="1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 w:customStyle="1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 w:customStyle="1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 w:customStyle="1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 w:customStyle="1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 w:customStyle="1">
    <w:name w:val="List Table 1 Light"/>
    <w:basedOn w:val="a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tcPr>
        <w:shd w:val="clear" w:color="bfbfbf" w:themeColor="text1" w:themeTint="40" w:fill="bfbfbf" w:themeFill="text1" w:themeFillTint="40"/>
      </w:tcPr>
    </w:tblStylePr>
  </w:style>
  <w:style w:type="table" w:styleId="ListTable1Light-Accent1" w:customStyle="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styleId="ListTable1Light-Accent2" w:customStyle="1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tcPr>
        <w:shd w:val="clear" w:color="efd2d2" w:themeColor="accent2" w:themeTint="40" w:fill="efd2d2" w:themeFill="accent2" w:themeFillTint="40"/>
      </w:tcPr>
    </w:tblStylePr>
  </w:style>
  <w:style w:type="table" w:styleId="ListTable1Light-Accent3" w:customStyle="1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tcPr>
        <w:shd w:val="clear" w:color="e5eed5" w:themeColor="accent3" w:themeTint="40" w:fill="e5eed5" w:themeFill="accent3" w:themeFillTint="40"/>
      </w:tcPr>
    </w:tblStylePr>
  </w:style>
  <w:style w:type="table" w:styleId="ListTable1Light-Accent4" w:customStyle="1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styleId="ListTable1Light-Accent5" w:customStyle="1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styleId="ListTable1Light-Accent6" w:customStyle="1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tcPr>
        <w:shd w:val="clear" w:color="fde4d0" w:themeColor="accent6" w:themeTint="40" w:fill="fde4d0" w:themeFill="accent6" w:themeFillTint="40"/>
      </w:tcPr>
    </w:tblStylePr>
  </w:style>
  <w:style w:type="table" w:styleId="ListTable2" w:customStyle="1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2-Accent1" w:customStyle="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styleId="ListTable2-Accent2" w:customStyle="1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</w:style>
  <w:style w:type="table" w:styleId="ListTable2-Accent3" w:customStyle="1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</w:style>
  <w:style w:type="table" w:styleId="ListTable2-Accent4" w:customStyle="1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styleId="ListTable2-Accent5" w:customStyle="1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styleId="ListTable2-Accent6" w:customStyle="1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</w:style>
  <w:style w:type="table" w:styleId="ListTable3" w:customStyle="1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ListTable3-Accent1" w:customStyle="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styleId="ListTable3-Accent2" w:customStyle="1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</w:style>
  <w:style w:type="table" w:styleId="ListTable3-Accent3" w:customStyle="1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</w:style>
  <w:style w:type="table" w:styleId="ListTable3-Accent4" w:customStyle="1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styleId="ListTable3-Accent5" w:customStyle="1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styleId="ListTable3-Accent6" w:customStyle="1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styleId="ListTable4" w:customStyle="1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4-Accent1" w:customStyle="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styleId="ListTable4-Accent2" w:customStyle="1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</w:style>
  <w:style w:type="table" w:styleId="ListTable4-Accent3" w:customStyle="1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</w:style>
  <w:style w:type="table" w:styleId="ListTable4-Accent4" w:customStyle="1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styleId="ListTable4-Accent5" w:customStyle="1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styleId="ListTable4-Accent6" w:customStyle="1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</w:style>
  <w:style w:type="table" w:styleId="ListTable5Dark" w:customStyle="1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</w:style>
  <w:style w:type="table" w:styleId="ListTable5Dark-Accent1" w:customStyle="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styleId="ListTable5Dark-Accent2" w:customStyle="1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695" w:themeColor="accent2" w:themeTint="97" w:sz="32" w:space="0"/>
          <w:bottom w:val="single" w:color="FFFFFF" w:themeColor="light1" w:sz="12" w:space="0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 w:customStyle="1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B" w:themeColor="accent3" w:themeTint="98" w:sz="32" w:space="0"/>
          <w:bottom w:val="single" w:color="FFFFFF" w:themeColor="light1" w:sz="12" w:space="0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 w:customStyle="1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 w:customStyle="1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 w:customStyle="1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styleId="ListTable6Colorful" w:customStyle="1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 w:customStyle="1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 w:customStyle="1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 w:customStyle="1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 w:customStyle="1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 w:customStyle="1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 w:customStyle="1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 w:customStyle="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 w:customStyle="1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 w:customStyle="1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 w:customStyle="1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 w:customStyle="1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 w:customStyle="1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ned-Accent" w:customStyle="1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</w:style>
  <w:style w:type="table" w:styleId="Lined-Accent1" w:customStyle="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styleId="Lined-Accent2" w:customStyle="1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Lined-Accent3" w:customStyle="1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Lined-Accent4" w:customStyle="1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Lined-Accent5" w:customStyle="1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Lined-Accent6" w:customStyle="1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BorderedLined-Accent" w:customStyle="1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</w:style>
  <w:style w:type="table" w:styleId="BorderedLined-Accent1" w:customStyle="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styleId="BorderedLined-Accent2" w:customStyle="1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BorderedLined-Accent3" w:customStyle="1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BorderedLined-Accent4" w:customStyle="1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BorderedLined-Accent5" w:customStyle="1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BorderedLined-Accent6" w:customStyle="1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Bordered" w:customStyle="1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</w:style>
  <w:style w:type="table" w:styleId="Bordered-Accent1" w:customStyle="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</w:style>
  <w:style w:type="table" w:styleId="Bordered-Accent2" w:customStyle="1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</w:style>
  <w:style w:type="table" w:styleId="Bordered-Accent3" w:customStyle="1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styleId="Bordered-Accent4" w:customStyle="1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styleId="Bordered-Accent5" w:customStyle="1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</w:style>
  <w:style w:type="table" w:styleId="Bordered-Accent6" w:customStyle="1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paragraph" w:styleId="a6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styleId="ae" w:customStyle="1">
    <w:name w:val="Текст сноски Знак"/>
    <w:link w:val="a6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7">
    <w:name w:val="endnote text"/>
    <w:basedOn w:val="a"/>
    <w:link w:val="af0"/>
    <w:uiPriority w:val="99"/>
    <w:semiHidden/>
    <w:unhideWhenUsed/>
    <w:rPr>
      <w:sz w:val="20"/>
    </w:rPr>
  </w:style>
  <w:style w:type="character" w:styleId="af0" w:customStyle="1">
    <w:name w:val="Текст концевой сноски Знак"/>
    <w:link w:val="a7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6">
    <w:name w:val="toc 6"/>
    <w:basedOn w:val="a"/>
    <w:next w:val="a"/>
    <w:uiPriority w:val="39"/>
    <w:unhideWhenUsed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11" w:customStyle="1">
    <w:name w:val="Заголовок 11"/>
    <w:basedOn w:val="a"/>
    <w:next w:val="a"/>
    <w:link w:val="Heading1Char"/>
    <w:qFormat/>
    <w:pPr>
      <w:keepNext/>
      <w:keepLines/>
      <w:numPr>
        <w:numId w:val="7"/>
      </w:numPr>
      <w:spacing w:after="360"/>
      <w:jc w:val="center"/>
      <w:outlineLvl w:val="0"/>
    </w:pPr>
    <w:rPr>
      <w:rFonts w:ascii="Arial" w:hAnsi="Arial"/>
      <w:b/>
      <w:sz w:val="28"/>
    </w:rPr>
  </w:style>
  <w:style w:type="paragraph" w:styleId="21" w:customStyle="1">
    <w:name w:val="Заголовок 21"/>
    <w:basedOn w:val="a"/>
    <w:next w:val="af3"/>
    <w:link w:val="Heading2Char"/>
    <w:qFormat/>
    <w:pPr>
      <w:keepNext/>
      <w:keepLines/>
      <w:numPr>
        <w:numId w:val="7"/>
        <w:ilvl w:val="1"/>
      </w:numPr>
      <w:spacing w:after="360"/>
      <w:jc w:val="center"/>
      <w:outlineLvl w:val="1"/>
    </w:pPr>
    <w:rPr>
      <w:b/>
      <w:sz w:val="28"/>
    </w:rPr>
  </w:style>
  <w:style w:type="paragraph" w:styleId="31" w:customStyle="1">
    <w:name w:val="Заголовок 31"/>
    <w:basedOn w:val="a"/>
    <w:next w:val="41"/>
    <w:link w:val="Heading3Char"/>
    <w:qFormat/>
    <w:pPr>
      <w:keepNext/>
      <w:keepLines/>
      <w:numPr>
        <w:numId w:val="7"/>
        <w:ilvl w:val="2"/>
      </w:numPr>
      <w:spacing w:before="360"/>
      <w:outlineLvl w:val="2"/>
    </w:pPr>
    <w:rPr>
      <w:b/>
      <w:sz w:val="28"/>
    </w:rPr>
  </w:style>
  <w:style w:type="paragraph" w:styleId="41" w:customStyle="1">
    <w:name w:val="Заголовок 41"/>
    <w:basedOn w:val="a"/>
    <w:next w:val="af3"/>
    <w:link w:val="Heading4Char"/>
    <w:qFormat/>
    <w:pPr>
      <w:keepNext/>
      <w:keepLines/>
      <w:numPr>
        <w:numId w:val="7"/>
        <w:ilvl w:val="3"/>
      </w:numPr>
      <w:spacing w:before="240"/>
      <w:outlineLvl w:val="3"/>
    </w:pPr>
    <w:rPr>
      <w:b/>
    </w:rPr>
  </w:style>
  <w:style w:type="paragraph" w:styleId="51" w:customStyle="1">
    <w:name w:val="Заголовок 51"/>
    <w:basedOn w:val="a"/>
    <w:next w:val="a"/>
    <w:link w:val="Heading5Char"/>
    <w:qFormat/>
    <w:pPr>
      <w:keepNext/>
      <w:numPr>
        <w:numId w:val="7"/>
        <w:ilvl w:val="4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1" w:customStyle="1">
    <w:name w:val="Заголовок 61"/>
    <w:basedOn w:val="a"/>
    <w:next w:val="a"/>
    <w:link w:val="Heading6Char"/>
    <w:qFormat/>
    <w:pPr>
      <w:keepNext/>
      <w:spacing w:before="240" w:after="60"/>
      <w:jc w:val="center"/>
      <w:outlineLvl w:val="5"/>
    </w:pPr>
    <w:rPr>
      <w:sz w:val="28"/>
    </w:rPr>
  </w:style>
  <w:style w:type="paragraph" w:styleId="71" w:customStyle="1">
    <w:name w:val="Заголовок 71"/>
    <w:basedOn w:val="a"/>
    <w:next w:val="a"/>
    <w:link w:val="Heading7Char"/>
    <w:qFormat/>
    <w:pPr>
      <w:keepNext/>
      <w:numPr>
        <w:numId w:val="2"/>
        <w:ilvl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1" w:customStyle="1">
    <w:name w:val="Заголовок 81"/>
    <w:basedOn w:val="a"/>
    <w:next w:val="a"/>
    <w:link w:val="Heading8Char"/>
    <w:qFormat/>
    <w:pPr>
      <w:spacing w:after="240" w:line="240" w:lineRule="exact"/>
      <w:ind w:left="4536"/>
      <w:outlineLvl w:val="7"/>
    </w:pPr>
  </w:style>
  <w:style w:type="paragraph" w:styleId="91" w:customStyle="1">
    <w:name w:val="Заголовок 91"/>
    <w:basedOn w:val="a"/>
    <w:next w:val="51"/>
    <w:link w:val="Heading9Char"/>
    <w:qFormat/>
    <w:pPr>
      <w:keepNext/>
      <w:keepLines/>
      <w:numPr>
        <w:numId w:val="2"/>
        <w:ilvl w:val="8"/>
      </w:numPr>
      <w:spacing w:after="120" w:line="240" w:lineRule="exact"/>
      <w:jc w:val="right"/>
      <w:outlineLvl w:val="8"/>
    </w:pPr>
  </w:style>
  <w:style w:type="paragraph" w:styleId="af3">
    <w:name w:val="Body Text"/>
    <w:basedOn w:val="a"/>
    <w:link w:val="af4"/>
    <w:pPr>
      <w:spacing w:before="120"/>
      <w:ind w:firstLine="567"/>
      <w:jc w:val="both"/>
    </w:pPr>
  </w:style>
  <w:style w:type="paragraph" w:styleId="10" w:customStyle="1">
    <w:name w:val="Верхний колонтитул1"/>
    <w:basedOn w:val="a"/>
    <w:link w:val="HeaderChar"/>
    <w:pPr>
      <w:tabs>
        <w:tab w:val="center" w:pos="4536"/>
        <w:tab w:val="right" w:pos="9072"/>
      </w:tabs>
    </w:pPr>
  </w:style>
  <w:style w:type="paragraph" w:styleId="13" w:customStyle="1">
    <w:name w:val="Нижний колонтитул1"/>
    <w:basedOn w:val="a"/>
    <w:link w:val="CaptionChar"/>
    <w:pPr>
      <w:tabs>
        <w:tab w:val="center" w:pos="4536"/>
        <w:tab w:val="right" w:pos="9072"/>
      </w:tabs>
    </w:pPr>
  </w:style>
  <w:style w:type="paragraph" w:styleId="af5">
    <w:name w:val="Body Text Indent"/>
    <w:basedOn w:val="a"/>
    <w:pPr>
      <w:spacing w:before="60"/>
      <w:ind w:left="284" w:firstLine="284"/>
      <w:jc w:val="both"/>
    </w:pPr>
  </w:style>
  <w:style w:type="paragraph" w:styleId="af6">
    <w:name w:val="Signature"/>
    <w:basedOn w:val="a"/>
    <w:next w:val="a"/>
    <w:link w:val="af7"/>
    <w:pPr>
      <w:tabs>
        <w:tab w:val="left" w:pos="6237"/>
      </w:tabs>
      <w:spacing w:before="600"/>
      <w:ind w:left="1276"/>
    </w:pPr>
  </w:style>
  <w:style w:type="paragraph" w:styleId="1" w:customStyle="1">
    <w:name w:val="Стиль1"/>
    <w:basedOn w:val="a"/>
    <w:qFormat/>
    <w:pPr>
      <w:numPr>
        <w:numId w:val="7"/>
        <w:ilvl w:val="5"/>
      </w:numPr>
      <w:spacing w:before="120"/>
      <w:jc w:val="both"/>
      <w:outlineLvl w:val="5"/>
    </w:pPr>
  </w:style>
  <w:style w:type="paragraph" w:styleId="2" w:customStyle="1">
    <w:name w:val="Стиль2"/>
    <w:basedOn w:val="1"/>
    <w:qFormat/>
    <w:pPr>
      <w:numPr>
        <w:ilvl w:val="6"/>
      </w:numPr>
      <w:spacing w:before="60"/>
      <w:ind w:left="344"/>
      <w:outlineLvl w:val="6"/>
    </w:pPr>
  </w:style>
  <w:style w:type="paragraph" w:styleId="af8">
    <w:name w:val="table of figures"/>
    <w:basedOn w:val="a"/>
    <w:next w:val="a"/>
    <w:semiHidden/>
    <w:pPr>
      <w:ind w:left="480" w:hanging="480"/>
    </w:pPr>
  </w:style>
  <w:style w:type="paragraph" w:styleId="3" w:customStyle="1">
    <w:name w:val="Стиль3"/>
    <w:basedOn w:val="a"/>
    <w:pPr>
      <w:numPr>
        <w:numId w:val="6"/>
      </w:numPr>
      <w:jc w:val="both"/>
    </w:pPr>
  </w:style>
  <w:style w:type="paragraph" w:styleId="40" w:customStyle="1">
    <w:name w:val="Стиль4"/>
    <w:basedOn w:val="a"/>
    <w:qFormat/>
    <w:pPr>
      <w:numPr>
        <w:numId w:val="7"/>
        <w:ilvl w:val="7"/>
      </w:numPr>
      <w:jc w:val="both"/>
    </w:pPr>
  </w:style>
  <w:style w:type="character" w:styleId="af9">
    <w:name w:val="page number"/>
    <w:basedOn w:val="a0"/>
  </w:style>
  <w:style w:type="character" w:styleId="afa">
    <w:name w:val="Hyperlink"/>
    <w:basedOn w:val="a0"/>
    <w:rPr>
      <w:color w:val="0000ff"/>
      <w:u w:val="single"/>
    </w:rPr>
  </w:style>
  <w:style w:type="paragraph" w:styleId="0" w:customStyle="1">
    <w:name w:val="Заголовок 0"/>
    <w:basedOn w:val="a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14">
    <w:name w:val="toc 1"/>
    <w:basedOn w:val="a"/>
    <w:pPr>
      <w:keepNext/>
      <w:tabs>
        <w:tab w:val="right" w:pos="9072" w:leader="dot"/>
      </w:tabs>
      <w:spacing w:before="240"/>
    </w:pPr>
    <w:rPr>
      <w:caps/>
      <w:szCs w:val="24"/>
    </w:rPr>
  </w:style>
  <w:style w:type="paragraph" w:styleId="20">
    <w:name w:val="toc 2"/>
    <w:basedOn w:val="a"/>
    <w:next w:val="a"/>
    <w:pPr>
      <w:keepLines/>
      <w:numPr>
        <w:numId w:val="4"/>
      </w:numPr>
      <w:tabs>
        <w:tab w:val="right" w:pos="9072" w:leader="dot"/>
      </w:tabs>
      <w:spacing w:before="60"/>
      <w:ind w:right="567"/>
    </w:pPr>
    <w:rPr>
      <w:szCs w:val="24"/>
    </w:rPr>
  </w:style>
  <w:style w:type="paragraph" w:styleId="30">
    <w:name w:val="toc 3"/>
    <w:basedOn w:val="a"/>
    <w:next w:val="a"/>
    <w:pPr>
      <w:keepLines/>
      <w:numPr>
        <w:numId w:val="4"/>
        <w:ilvl w:val="2"/>
      </w:numPr>
      <w:tabs>
        <w:tab w:val="left" w:pos="1995"/>
        <w:tab w:val="right" w:pos="9072" w:leader="dot"/>
      </w:tabs>
      <w:spacing w:before="60"/>
      <w:ind w:right="567"/>
    </w:pPr>
    <w:rPr>
      <w:szCs w:val="24"/>
    </w:rPr>
  </w:style>
  <w:style w:type="paragraph" w:styleId="4">
    <w:name w:val="toc 4"/>
    <w:basedOn w:val="a"/>
    <w:next w:val="a"/>
    <w:pPr>
      <w:keepLines/>
      <w:numPr>
        <w:numId w:val="5"/>
        <w:ilvl w:val="3"/>
      </w:numPr>
      <w:tabs>
        <w:tab w:val="left" w:pos="1985"/>
        <w:tab w:val="right" w:pos="9072" w:leader="dot"/>
      </w:tabs>
      <w:spacing w:before="60"/>
      <w:ind w:right="567"/>
    </w:pPr>
  </w:style>
  <w:style w:type="paragraph" w:styleId="5">
    <w:name w:val="toc 5"/>
    <w:basedOn w:val="a"/>
    <w:next w:val="a"/>
    <w:pPr>
      <w:keepLines/>
      <w:tabs>
        <w:tab w:val="right" w:pos="9072" w:leader="dot"/>
      </w:tabs>
      <w:spacing w:before="60"/>
      <w:ind w:right="567"/>
    </w:pPr>
  </w:style>
  <w:style w:type="paragraph" w:styleId="afb">
    <w:name w:val="Balloon Text"/>
    <w:basedOn w:val="a"/>
    <w:link w:val="afc"/>
    <w:rPr>
      <w:rFonts w:ascii="Tahoma" w:hAnsi="Tahoma" w:cs="Tahoma"/>
      <w:sz w:val="16"/>
      <w:szCs w:val="16"/>
    </w:rPr>
  </w:style>
  <w:style w:type="character" w:styleId="afc" w:customStyle="1">
    <w:name w:val="Текст выноски Знак"/>
    <w:basedOn w:val="a0"/>
    <w:link w:val="afb"/>
    <w:rPr>
      <w:rFonts w:ascii="Tahoma" w:hAnsi="Tahoma" w:cs="Tahoma"/>
      <w:sz w:val="16"/>
      <w:szCs w:val="16"/>
    </w:rPr>
  </w:style>
  <w:style w:type="character" w:styleId="af7" w:customStyle="1">
    <w:name w:val="Подпись Знак"/>
    <w:link w:val="af6"/>
    <w:rPr>
      <w:sz w:val="24"/>
    </w:rPr>
  </w:style>
  <w:style w:type="character" w:styleId="af4" w:customStyle="1">
    <w:name w:val="Основной текст Знак"/>
    <w:link w:val="af3"/>
    <w:rPr>
      <w:sz w:val="24"/>
    </w:rPr>
  </w:style>
  <w:style w:type="paragraph" w:styleId="15" w:customStyle="1">
    <w:name w:val="Основной текст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before="120"/>
      <w:ind w:firstLine="567"/>
      <w:jc w:val="both"/>
    </w:pPr>
    <w:rPr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login.consultant.ru/link/?req=doc&amp;base=LAW&amp;n=464193&amp;dst=37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6B5B4-C6CF-4225-804E-B29703A67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haracters>3025</Characters>
  <CharactersWithSpaces>3548</CharactersWithSpaces>
  <Company>SOBRANIE</Company>
  <DocSecurity>0</DocSecurity>
  <HyperlinksChanged>false</HyperlinksChanged>
  <Lines>25</Lines>
  <LinksUpToDate>false</LinksUpToDate>
  <Pages>2</Pages>
  <Paragraphs>7</Paragraphs>
  <ScaleCrop>false</ScaleCrop>
  <SharedDoc>false</SharedDoc>
  <Template>Normal</Template>
  <TotalTime>0</TotalTime>
  <Words>530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kisyrkin</cp:lastModifiedBy>
  <cp:revision>2</cp:revision>
  <cp:lastPrinted>2024-09-04T11:44:00Z</cp:lastPrinted>
  <dcterms:created xsi:type="dcterms:W3CDTF">2024-09-04T14:18:00Z</dcterms:created>
  <dcterms:modified xsi:type="dcterms:W3CDTF">2024-09-04T14:18:00Z</dcterms:modified>
</cp:coreProperties>
</file>